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F8B" w:rsidRPr="00612443" w:rsidRDefault="006F1172" w:rsidP="00E95F8B">
      <w:pPr>
        <w:pStyle w:val="Ttulo"/>
        <w:widowControl/>
        <w:spacing w:before="0" w:after="0"/>
        <w:rPr>
          <w:rFonts w:ascii="Palatino Linotype" w:hAnsi="Palatino Linotype"/>
          <w:sz w:val="32"/>
          <w:szCs w:val="22"/>
          <w:lang w:val="en-US"/>
        </w:rPr>
      </w:pPr>
      <w:r w:rsidRPr="00612443">
        <w:rPr>
          <w:rFonts w:ascii="Palatino Linotype" w:hAnsi="Palatino Linotype"/>
          <w:sz w:val="32"/>
          <w:szCs w:val="22"/>
          <w:lang w:val="en-US"/>
        </w:rPr>
        <w:fldChar w:fldCharType="begin"/>
      </w:r>
      <w:r w:rsidR="00331D0A" w:rsidRPr="00612443">
        <w:rPr>
          <w:rFonts w:ascii="Palatino Linotype" w:hAnsi="Palatino Linotype"/>
          <w:sz w:val="32"/>
          <w:szCs w:val="22"/>
          <w:lang w:val="en-US"/>
        </w:rPr>
        <w:instrText xml:space="preserve"> MACROBUTTON MTEditEquationSection2 </w:instrText>
      </w:r>
      <w:r w:rsidR="00331D0A" w:rsidRPr="00612443">
        <w:rPr>
          <w:rStyle w:val="MTEquationSection"/>
          <w:rFonts w:ascii="Palatino Linotype" w:hAnsi="Palatino Linotype"/>
        </w:rPr>
        <w:instrText>Equation Chapter 1 Section 1</w:instrText>
      </w:r>
      <w:r w:rsidRPr="00612443">
        <w:rPr>
          <w:rFonts w:ascii="Palatino Linotype" w:hAnsi="Palatino Linotype"/>
          <w:sz w:val="32"/>
          <w:szCs w:val="22"/>
          <w:lang w:val="en-US"/>
        </w:rPr>
        <w:fldChar w:fldCharType="begin"/>
      </w:r>
      <w:r w:rsidR="00331D0A" w:rsidRPr="00612443">
        <w:rPr>
          <w:rFonts w:ascii="Palatino Linotype" w:hAnsi="Palatino Linotype"/>
          <w:sz w:val="32"/>
          <w:szCs w:val="22"/>
          <w:lang w:val="en-US"/>
        </w:rPr>
        <w:instrText xml:space="preserve"> SEQ MTEqn \r \h \* MERGEFORMAT </w:instrText>
      </w:r>
      <w:r w:rsidRPr="00612443">
        <w:rPr>
          <w:rFonts w:ascii="Palatino Linotype" w:hAnsi="Palatino Linotype"/>
          <w:sz w:val="32"/>
          <w:szCs w:val="22"/>
          <w:lang w:val="en-US"/>
        </w:rPr>
        <w:fldChar w:fldCharType="end"/>
      </w:r>
      <w:r w:rsidRPr="00612443">
        <w:rPr>
          <w:rFonts w:ascii="Palatino Linotype" w:hAnsi="Palatino Linotype"/>
          <w:sz w:val="32"/>
          <w:szCs w:val="22"/>
          <w:lang w:val="en-US"/>
        </w:rPr>
        <w:fldChar w:fldCharType="begin"/>
      </w:r>
      <w:r w:rsidR="00331D0A" w:rsidRPr="00612443">
        <w:rPr>
          <w:rFonts w:ascii="Palatino Linotype" w:hAnsi="Palatino Linotype"/>
          <w:sz w:val="32"/>
          <w:szCs w:val="22"/>
          <w:lang w:val="en-US"/>
        </w:rPr>
        <w:instrText xml:space="preserve"> SEQ MTSec \r 1 \h \* MERGEFORMAT </w:instrText>
      </w:r>
      <w:r w:rsidRPr="00612443">
        <w:rPr>
          <w:rFonts w:ascii="Palatino Linotype" w:hAnsi="Palatino Linotype"/>
          <w:sz w:val="32"/>
          <w:szCs w:val="22"/>
          <w:lang w:val="en-US"/>
        </w:rPr>
        <w:fldChar w:fldCharType="end"/>
      </w:r>
      <w:r w:rsidRPr="00612443">
        <w:rPr>
          <w:rFonts w:ascii="Palatino Linotype" w:hAnsi="Palatino Linotype"/>
          <w:sz w:val="32"/>
          <w:szCs w:val="22"/>
          <w:lang w:val="en-US"/>
        </w:rPr>
        <w:fldChar w:fldCharType="begin"/>
      </w:r>
      <w:r w:rsidR="00331D0A" w:rsidRPr="00612443">
        <w:rPr>
          <w:rFonts w:ascii="Palatino Linotype" w:hAnsi="Palatino Linotype"/>
          <w:sz w:val="32"/>
          <w:szCs w:val="22"/>
          <w:lang w:val="en-US"/>
        </w:rPr>
        <w:instrText xml:space="preserve"> SEQ MTChap \r 1 \h \* MERGEFORMAT </w:instrText>
      </w:r>
      <w:r w:rsidRPr="00612443">
        <w:rPr>
          <w:rFonts w:ascii="Palatino Linotype" w:hAnsi="Palatino Linotype"/>
          <w:sz w:val="32"/>
          <w:szCs w:val="22"/>
          <w:lang w:val="en-US"/>
        </w:rPr>
        <w:fldChar w:fldCharType="end"/>
      </w:r>
      <w:r w:rsidRPr="00612443">
        <w:rPr>
          <w:rFonts w:ascii="Palatino Linotype" w:hAnsi="Palatino Linotype"/>
          <w:sz w:val="32"/>
          <w:szCs w:val="22"/>
          <w:lang w:val="en-US"/>
        </w:rPr>
        <w:fldChar w:fldCharType="end"/>
      </w:r>
      <w:r w:rsidR="00D105D3">
        <w:rPr>
          <w:rFonts w:ascii="Palatino Linotype" w:hAnsi="Palatino Linotype"/>
          <w:sz w:val="32"/>
          <w:szCs w:val="22"/>
          <w:lang w:val="en-US"/>
        </w:rPr>
        <w:t>E</w:t>
      </w:r>
      <w:r w:rsidR="00612443">
        <w:rPr>
          <w:rFonts w:ascii="Palatino Linotype" w:hAnsi="Palatino Linotype"/>
          <w:sz w:val="32"/>
          <w:szCs w:val="22"/>
          <w:lang w:val="en-US"/>
        </w:rPr>
        <w:t>xchange rate i</w:t>
      </w:r>
      <w:r w:rsidR="00E95F8B" w:rsidRPr="00612443">
        <w:rPr>
          <w:rFonts w:ascii="Palatino Linotype" w:hAnsi="Palatino Linotype"/>
          <w:sz w:val="32"/>
          <w:szCs w:val="22"/>
          <w:lang w:val="en-US"/>
        </w:rPr>
        <w:t>nterventions and inflation expectations in an inflation targeting economy</w:t>
      </w:r>
      <w:r w:rsidR="00DA0988" w:rsidRPr="00612443">
        <w:rPr>
          <w:rStyle w:val="Refdenotaalpie"/>
          <w:rFonts w:ascii="Palatino Linotype" w:hAnsi="Palatino Linotype"/>
          <w:sz w:val="32"/>
          <w:szCs w:val="22"/>
          <w:lang w:val="en-US"/>
        </w:rPr>
        <w:footnoteReference w:customMarkFollows="1" w:id="1"/>
        <w:sym w:font="Symbol" w:char="F02A"/>
      </w:r>
    </w:p>
    <w:p w:rsidR="00E95F8B" w:rsidRPr="00612443" w:rsidRDefault="00E95F8B" w:rsidP="00E95F8B">
      <w:pPr>
        <w:pStyle w:val="author"/>
        <w:rPr>
          <w:rFonts w:ascii="Palatino Linotype" w:hAnsi="Palatino Linotype"/>
          <w:lang w:val="en-US"/>
        </w:rPr>
      </w:pPr>
    </w:p>
    <w:p w:rsidR="00E95F8B" w:rsidRPr="00612443" w:rsidRDefault="00E95F8B" w:rsidP="00E95F8B">
      <w:pPr>
        <w:pStyle w:val="author"/>
        <w:widowControl/>
        <w:spacing w:after="0"/>
        <w:ind w:firstLine="300"/>
        <w:rPr>
          <w:rFonts w:ascii="Palatino Linotype" w:hAnsi="Palatino Linotype"/>
          <w:b/>
          <w:sz w:val="28"/>
          <w:szCs w:val="22"/>
          <w:lang w:val="en-US"/>
        </w:rPr>
      </w:pPr>
      <w:r w:rsidRPr="00612443">
        <w:rPr>
          <w:rFonts w:ascii="Palatino Linotype" w:hAnsi="Palatino Linotype"/>
          <w:b/>
          <w:sz w:val="28"/>
          <w:szCs w:val="22"/>
          <w:lang w:val="en-US"/>
        </w:rPr>
        <w:t>Pablo Pincheira</w:t>
      </w:r>
    </w:p>
    <w:p w:rsidR="00E95F8B" w:rsidRPr="00612443" w:rsidRDefault="00E95F8B" w:rsidP="00E95F8B">
      <w:pPr>
        <w:rPr>
          <w:rFonts w:ascii="Palatino Linotype" w:hAnsi="Palatino Linotype"/>
          <w:lang w:val="en-US"/>
        </w:rPr>
      </w:pPr>
    </w:p>
    <w:p w:rsidR="00E95F8B" w:rsidRPr="00612443" w:rsidRDefault="00C26285" w:rsidP="00E95F8B">
      <w:pPr>
        <w:pStyle w:val="author"/>
        <w:widowControl/>
        <w:spacing w:after="0"/>
        <w:rPr>
          <w:rFonts w:ascii="Palatino Linotype" w:hAnsi="Palatino Linotype"/>
          <w:sz w:val="22"/>
          <w:szCs w:val="22"/>
          <w:lang w:val="en-US"/>
        </w:rPr>
      </w:pPr>
      <w:r w:rsidRPr="00612443">
        <w:rPr>
          <w:rFonts w:ascii="Palatino Linotype" w:hAnsi="Palatino Linotype"/>
          <w:sz w:val="22"/>
          <w:szCs w:val="22"/>
          <w:lang w:val="en-US"/>
        </w:rPr>
        <w:t>School of Business</w:t>
      </w:r>
      <w:r w:rsidRPr="00612443">
        <w:rPr>
          <w:rStyle w:val="Refdenotaalpie"/>
          <w:rFonts w:ascii="Palatino Linotype" w:hAnsi="Palatino Linotype"/>
          <w:b/>
          <w:sz w:val="28"/>
          <w:szCs w:val="22"/>
          <w:lang w:val="en-US"/>
        </w:rPr>
        <w:footnoteReference w:customMarkFollows="1" w:id="2"/>
        <w:sym w:font="Symbol" w:char="F0A7"/>
      </w:r>
    </w:p>
    <w:p w:rsidR="00C26285" w:rsidRPr="00612443" w:rsidRDefault="00C26285" w:rsidP="00C26285">
      <w:pPr>
        <w:pStyle w:val="author"/>
        <w:widowControl/>
        <w:spacing w:after="0"/>
        <w:rPr>
          <w:rFonts w:ascii="Palatino Linotype" w:hAnsi="Palatino Linotype"/>
          <w:sz w:val="22"/>
          <w:szCs w:val="22"/>
          <w:lang w:val="en-US"/>
        </w:rPr>
      </w:pPr>
      <w:r w:rsidRPr="00612443">
        <w:rPr>
          <w:rFonts w:ascii="Palatino Linotype" w:hAnsi="Palatino Linotype"/>
          <w:sz w:val="22"/>
          <w:szCs w:val="22"/>
          <w:lang w:val="en-US"/>
        </w:rPr>
        <w:t>Universidad Adolfo Ibáñez</w:t>
      </w:r>
    </w:p>
    <w:p w:rsidR="00E95F8B" w:rsidRPr="00612443" w:rsidRDefault="00E95F8B" w:rsidP="00E95F8B">
      <w:pPr>
        <w:rPr>
          <w:rFonts w:ascii="Palatino Linotype" w:hAnsi="Palatino Linotype"/>
          <w:lang w:val="en-US"/>
        </w:rPr>
      </w:pPr>
    </w:p>
    <w:p w:rsidR="00E95F8B" w:rsidRPr="00612443" w:rsidRDefault="00C26285" w:rsidP="00E95F8B">
      <w:pPr>
        <w:pStyle w:val="abstracttitle"/>
        <w:widowControl/>
        <w:spacing w:after="0"/>
        <w:ind w:firstLine="300"/>
        <w:rPr>
          <w:rFonts w:ascii="Palatino Linotype" w:hAnsi="Palatino Linotype"/>
          <w:b w:val="0"/>
          <w:sz w:val="22"/>
          <w:szCs w:val="22"/>
          <w:lang w:val="en-US"/>
        </w:rPr>
      </w:pPr>
      <w:r w:rsidRPr="00612443">
        <w:rPr>
          <w:rFonts w:ascii="Palatino Linotype" w:hAnsi="Palatino Linotype"/>
          <w:b w:val="0"/>
          <w:sz w:val="22"/>
          <w:szCs w:val="22"/>
          <w:lang w:val="en-US"/>
        </w:rPr>
        <w:t>March</w:t>
      </w:r>
      <w:r w:rsidR="00E95F8B" w:rsidRPr="00612443">
        <w:rPr>
          <w:rFonts w:ascii="Palatino Linotype" w:hAnsi="Palatino Linotype"/>
          <w:b w:val="0"/>
          <w:sz w:val="22"/>
          <w:szCs w:val="22"/>
          <w:lang w:val="en-US"/>
        </w:rPr>
        <w:t xml:space="preserve"> 201</w:t>
      </w:r>
      <w:r w:rsidRPr="00612443">
        <w:rPr>
          <w:rFonts w:ascii="Palatino Linotype" w:hAnsi="Palatino Linotype"/>
          <w:b w:val="0"/>
          <w:sz w:val="22"/>
          <w:szCs w:val="22"/>
          <w:lang w:val="en-US"/>
        </w:rPr>
        <w:t>7</w:t>
      </w:r>
    </w:p>
    <w:p w:rsidR="00E95F8B" w:rsidRPr="00612443" w:rsidRDefault="00E95F8B" w:rsidP="00E95F8B">
      <w:pPr>
        <w:rPr>
          <w:rFonts w:ascii="Palatino Linotype" w:hAnsi="Palatino Linotype"/>
          <w:lang w:val="en-US"/>
        </w:rPr>
      </w:pPr>
    </w:p>
    <w:p w:rsidR="00E95F8B" w:rsidRPr="00612443" w:rsidRDefault="00E95F8B" w:rsidP="00E95F8B">
      <w:pPr>
        <w:rPr>
          <w:rFonts w:ascii="Palatino Linotype" w:hAnsi="Palatino Linotype"/>
          <w:lang w:val="en-US"/>
        </w:rPr>
      </w:pPr>
    </w:p>
    <w:p w:rsidR="00E95F8B" w:rsidRPr="00612443" w:rsidRDefault="00E95F8B" w:rsidP="00E95F8B">
      <w:pPr>
        <w:pStyle w:val="abstracttitle"/>
        <w:widowControl/>
        <w:spacing w:after="0"/>
        <w:ind w:firstLine="300"/>
        <w:rPr>
          <w:rFonts w:ascii="Palatino Linotype" w:hAnsi="Palatino Linotype"/>
          <w:sz w:val="22"/>
          <w:szCs w:val="22"/>
          <w:lang w:val="en-US"/>
        </w:rPr>
      </w:pPr>
      <w:r w:rsidRPr="00612443">
        <w:rPr>
          <w:rFonts w:ascii="Palatino Linotype" w:hAnsi="Palatino Linotype"/>
          <w:sz w:val="22"/>
          <w:szCs w:val="22"/>
          <w:lang w:val="en-US"/>
        </w:rPr>
        <w:t>Abstract</w:t>
      </w:r>
    </w:p>
    <w:p w:rsidR="00E95F8B" w:rsidRPr="00612443" w:rsidRDefault="00E95F8B" w:rsidP="00E95F8B">
      <w:pPr>
        <w:pStyle w:val="abstract"/>
        <w:rPr>
          <w:rFonts w:ascii="Palatino Linotype" w:hAnsi="Palatino Linotype"/>
          <w:lang w:val="en-US"/>
        </w:rPr>
      </w:pPr>
    </w:p>
    <w:p w:rsidR="00E95F8B" w:rsidRDefault="00D105D3" w:rsidP="00E95F8B">
      <w:pPr>
        <w:ind w:left="1024" w:right="1024" w:firstLine="300"/>
        <w:rPr>
          <w:rFonts w:ascii="Palatino Linotype" w:hAnsi="Palatino Linotype"/>
          <w:lang w:val="en-US"/>
        </w:rPr>
      </w:pPr>
      <w:r w:rsidRPr="00D105D3">
        <w:rPr>
          <w:rFonts w:ascii="Palatino Linotype" w:hAnsi="Palatino Linotype"/>
          <w:lang w:val="en-US"/>
        </w:rPr>
        <w:t>In this paper we explore</w:t>
      </w:r>
      <w:r w:rsidR="0059679B">
        <w:rPr>
          <w:rFonts w:ascii="Palatino Linotype" w:hAnsi="Palatino Linotype"/>
          <w:lang w:val="en-US"/>
        </w:rPr>
        <w:t xml:space="preserve"> the impact of exchange rate interventions on </w:t>
      </w:r>
      <w:r w:rsidR="0059679B" w:rsidRPr="00D105D3">
        <w:rPr>
          <w:rFonts w:ascii="Palatino Linotype" w:hAnsi="Palatino Linotype"/>
          <w:lang w:val="en-US"/>
        </w:rPr>
        <w:t xml:space="preserve">inflation expectations </w:t>
      </w:r>
      <w:r w:rsidR="0059679B">
        <w:rPr>
          <w:rFonts w:ascii="Palatino Linotype" w:hAnsi="Palatino Linotype"/>
          <w:lang w:val="en-US"/>
        </w:rPr>
        <w:t>and exchange rate returns in Chile</w:t>
      </w:r>
      <w:r w:rsidRPr="00D105D3">
        <w:rPr>
          <w:rFonts w:ascii="Palatino Linotype" w:hAnsi="Palatino Linotype"/>
          <w:lang w:val="en-US"/>
        </w:rPr>
        <w:t xml:space="preserve">. We consider two episodes of preannounced central bank interventions during the sample period 2007–2012. </w:t>
      </w:r>
      <w:r w:rsidR="0059679B" w:rsidRPr="00D105D3">
        <w:rPr>
          <w:rFonts w:ascii="Palatino Linotype" w:hAnsi="Palatino Linotype"/>
          <w:lang w:val="en-US"/>
        </w:rPr>
        <w:t xml:space="preserve">Our analysis </w:t>
      </w:r>
      <w:r w:rsidR="0059679B">
        <w:rPr>
          <w:rFonts w:ascii="Palatino Linotype" w:hAnsi="Palatino Linotype"/>
          <w:lang w:val="en-US"/>
        </w:rPr>
        <w:t>indicate</w:t>
      </w:r>
      <w:r w:rsidR="0059679B" w:rsidRPr="00D105D3">
        <w:rPr>
          <w:rFonts w:ascii="Palatino Linotype" w:hAnsi="Palatino Linotype"/>
          <w:lang w:val="en-US"/>
        </w:rPr>
        <w:t xml:space="preserve"> that the interventions did have an impact on daily exchange rate returns, especially on the day after the announcements of the intervention programs</w:t>
      </w:r>
      <w:r w:rsidR="0059679B">
        <w:rPr>
          <w:rFonts w:ascii="Palatino Linotype" w:hAnsi="Palatino Linotype"/>
          <w:lang w:val="en-US"/>
        </w:rPr>
        <w:t>.</w:t>
      </w:r>
      <w:r w:rsidR="0059679B">
        <w:rPr>
          <w:rFonts w:ascii="Palatino Linotype" w:hAnsi="Palatino Linotype"/>
          <w:lang w:val="en-US"/>
        </w:rPr>
        <w:t xml:space="preserve"> In terms of inflation expectations,</w:t>
      </w:r>
      <w:r w:rsidRPr="00D105D3">
        <w:rPr>
          <w:rFonts w:ascii="Palatino Linotype" w:hAnsi="Palatino Linotype"/>
          <w:lang w:val="en-US"/>
        </w:rPr>
        <w:t xml:space="preserve"> </w:t>
      </w:r>
      <w:r w:rsidR="0059679B">
        <w:rPr>
          <w:rFonts w:ascii="Palatino Linotype" w:hAnsi="Palatino Linotype"/>
          <w:lang w:val="en-US"/>
        </w:rPr>
        <w:t>we find that</w:t>
      </w:r>
      <w:r w:rsidRPr="00D105D3">
        <w:rPr>
          <w:rFonts w:ascii="Palatino Linotype" w:hAnsi="Palatino Linotype"/>
          <w:lang w:val="en-US"/>
        </w:rPr>
        <w:t xml:space="preserve"> the intervention program carried out in 2008 had a significant, but relatively short-lived, impact on the distribution of inflation expectations at long horizons. </w:t>
      </w:r>
      <w:r w:rsidR="00466682">
        <w:rPr>
          <w:rFonts w:ascii="Palatino Linotype" w:hAnsi="Palatino Linotype"/>
          <w:lang w:val="en-US"/>
        </w:rPr>
        <w:t>In contrast</w:t>
      </w:r>
      <w:r w:rsidRPr="00D105D3">
        <w:rPr>
          <w:rFonts w:ascii="Palatino Linotype" w:hAnsi="Palatino Linotype"/>
          <w:lang w:val="en-US"/>
        </w:rPr>
        <w:t xml:space="preserve">, the intervention carried out in 2011 shows no relevant impact on the distribution of inflation expectations in Chile. A daily analysis using break-even inflation rate as a proxy for inflation expectations is roughly consistent with these results. </w:t>
      </w:r>
    </w:p>
    <w:p w:rsidR="0059679B" w:rsidRDefault="0059679B" w:rsidP="00E95F8B">
      <w:pPr>
        <w:ind w:left="1024" w:right="1024" w:firstLine="300"/>
        <w:rPr>
          <w:rFonts w:ascii="Palatino Linotype" w:hAnsi="Palatino Linotype"/>
          <w:lang w:val="en-US"/>
        </w:rPr>
      </w:pPr>
    </w:p>
    <w:p w:rsidR="0059679B" w:rsidRPr="00612443" w:rsidRDefault="0059679B" w:rsidP="00E95F8B">
      <w:pPr>
        <w:ind w:left="1024" w:right="1024" w:firstLine="300"/>
        <w:rPr>
          <w:rFonts w:ascii="Palatino Linotype" w:hAnsi="Palatino Linotype"/>
          <w:b/>
          <w:sz w:val="22"/>
          <w:szCs w:val="22"/>
          <w:lang w:val="en-US"/>
        </w:rPr>
      </w:pPr>
    </w:p>
    <w:p w:rsidR="00E95F8B" w:rsidRPr="00612443" w:rsidRDefault="00E95F8B" w:rsidP="00E95F8B">
      <w:pPr>
        <w:ind w:left="1024" w:right="1024" w:firstLine="300"/>
        <w:rPr>
          <w:rFonts w:ascii="Palatino Linotype" w:hAnsi="Palatino Linotype"/>
          <w:sz w:val="22"/>
          <w:szCs w:val="22"/>
          <w:lang w:val="it-CH"/>
        </w:rPr>
      </w:pPr>
      <w:r w:rsidRPr="00612443">
        <w:rPr>
          <w:rFonts w:ascii="Palatino Linotype" w:hAnsi="Palatino Linotype"/>
          <w:b/>
          <w:sz w:val="22"/>
          <w:szCs w:val="22"/>
          <w:lang w:val="it-CH"/>
        </w:rPr>
        <w:t>JEL codes</w:t>
      </w:r>
      <w:r w:rsidRPr="00612443">
        <w:rPr>
          <w:rFonts w:ascii="Palatino Linotype" w:hAnsi="Palatino Linotype"/>
          <w:sz w:val="22"/>
          <w:szCs w:val="22"/>
          <w:lang w:val="it-CH"/>
        </w:rPr>
        <w:t>: E31, E52, E58, F31.</w:t>
      </w:r>
    </w:p>
    <w:p w:rsidR="00E95F8B" w:rsidRPr="00612443" w:rsidRDefault="00E95F8B" w:rsidP="00E95F8B">
      <w:pPr>
        <w:ind w:left="1024" w:right="1024" w:firstLine="300"/>
        <w:rPr>
          <w:rFonts w:ascii="Palatino Linotype" w:hAnsi="Palatino Linotype"/>
          <w:sz w:val="22"/>
          <w:szCs w:val="22"/>
          <w:lang w:val="en-US"/>
        </w:rPr>
      </w:pPr>
      <w:r w:rsidRPr="00612443">
        <w:rPr>
          <w:rFonts w:ascii="Palatino Linotype" w:hAnsi="Palatino Linotype"/>
          <w:b/>
          <w:sz w:val="22"/>
          <w:szCs w:val="22"/>
          <w:lang w:val="en-US"/>
        </w:rPr>
        <w:t>Keywords</w:t>
      </w:r>
      <w:r w:rsidRPr="00612443">
        <w:rPr>
          <w:rFonts w:ascii="Palatino Linotype" w:hAnsi="Palatino Linotype"/>
          <w:sz w:val="22"/>
          <w:szCs w:val="22"/>
          <w:lang w:val="en-US"/>
        </w:rPr>
        <w:t xml:space="preserve">: Exchange rates, inflation expectations, inflation targeting, interventions. </w:t>
      </w:r>
    </w:p>
    <w:p w:rsidR="00E95F8B" w:rsidRPr="00612443" w:rsidRDefault="00E95F8B" w:rsidP="00E95F8B">
      <w:pPr>
        <w:autoSpaceDE/>
        <w:autoSpaceDN/>
        <w:adjustRightInd/>
        <w:spacing w:after="200" w:line="276" w:lineRule="auto"/>
        <w:jc w:val="left"/>
        <w:rPr>
          <w:rFonts w:ascii="Palatino Linotype" w:hAnsi="Palatino Linotype"/>
          <w:sz w:val="22"/>
          <w:szCs w:val="22"/>
          <w:lang w:val="en-US"/>
        </w:rPr>
      </w:pPr>
      <w:r w:rsidRPr="00612443">
        <w:rPr>
          <w:rFonts w:ascii="Palatino Linotype" w:hAnsi="Palatino Linotype"/>
          <w:sz w:val="22"/>
          <w:szCs w:val="22"/>
          <w:lang w:val="en-US"/>
        </w:rPr>
        <w:br w:type="page"/>
      </w:r>
    </w:p>
    <w:p w:rsidR="00D67271" w:rsidRPr="00612443" w:rsidRDefault="000D18E6" w:rsidP="00E95F8B">
      <w:pPr>
        <w:pStyle w:val="Ttulo"/>
        <w:widowControl/>
        <w:spacing w:before="0" w:after="0"/>
        <w:rPr>
          <w:rFonts w:ascii="Palatino Linotype" w:hAnsi="Palatino Linotype"/>
          <w:szCs w:val="28"/>
          <w:lang w:val="en-US"/>
        </w:rPr>
      </w:pPr>
      <w:r w:rsidRPr="00612443">
        <w:rPr>
          <w:rFonts w:ascii="Palatino Linotype" w:hAnsi="Palatino Linotype"/>
          <w:szCs w:val="28"/>
          <w:lang w:val="en-US"/>
        </w:rPr>
        <w:lastRenderedPageBreak/>
        <w:t>Introduction</w:t>
      </w:r>
    </w:p>
    <w:p w:rsidR="00367CD6" w:rsidRPr="00612443" w:rsidRDefault="00367CD6" w:rsidP="00367CD6">
      <w:pPr>
        <w:rPr>
          <w:rFonts w:ascii="Palatino Linotype" w:hAnsi="Palatino Linotype"/>
          <w:lang w:val="en-US"/>
        </w:rPr>
      </w:pPr>
    </w:p>
    <w:p w:rsidR="00D67271" w:rsidRPr="00612443" w:rsidRDefault="00AC2B54" w:rsidP="00367CD6">
      <w:pPr>
        <w:spacing w:before="60"/>
        <w:ind w:firstLine="300"/>
        <w:rPr>
          <w:rFonts w:ascii="Palatino Linotype" w:hAnsi="Palatino Linotype"/>
          <w:sz w:val="22"/>
          <w:szCs w:val="22"/>
          <w:lang w:val="en-US"/>
        </w:rPr>
      </w:pPr>
      <w:r w:rsidRPr="00612443">
        <w:rPr>
          <w:rFonts w:ascii="Palatino Linotype" w:hAnsi="Palatino Linotype"/>
          <w:sz w:val="22"/>
          <w:szCs w:val="22"/>
          <w:lang w:val="en-US"/>
        </w:rPr>
        <w:t xml:space="preserve">In </w:t>
      </w:r>
      <w:r w:rsidR="000D18E6" w:rsidRPr="00612443">
        <w:rPr>
          <w:rFonts w:ascii="Palatino Linotype" w:hAnsi="Palatino Linotype"/>
          <w:sz w:val="22"/>
          <w:szCs w:val="22"/>
          <w:lang w:val="en-US"/>
        </w:rPr>
        <w:t>1999</w:t>
      </w:r>
      <w:r w:rsidRPr="00612443">
        <w:rPr>
          <w:rFonts w:ascii="Palatino Linotype" w:hAnsi="Palatino Linotype"/>
          <w:sz w:val="22"/>
          <w:szCs w:val="22"/>
          <w:lang w:val="en-US"/>
        </w:rPr>
        <w:t>,</w:t>
      </w:r>
      <w:r w:rsidR="000D18E6" w:rsidRPr="00612443">
        <w:rPr>
          <w:rFonts w:ascii="Palatino Linotype" w:hAnsi="Palatino Linotype"/>
          <w:sz w:val="22"/>
          <w:szCs w:val="22"/>
          <w:lang w:val="en-US"/>
        </w:rPr>
        <w:t xml:space="preserve"> Chile announce</w:t>
      </w:r>
      <w:r w:rsidRPr="00612443">
        <w:rPr>
          <w:rFonts w:ascii="Palatino Linotype" w:hAnsi="Palatino Linotype"/>
          <w:sz w:val="22"/>
          <w:szCs w:val="22"/>
          <w:lang w:val="en-US"/>
        </w:rPr>
        <w:t>d</w:t>
      </w:r>
      <w:r w:rsidR="000D18E6" w:rsidRPr="00612443">
        <w:rPr>
          <w:rFonts w:ascii="Palatino Linotype" w:hAnsi="Palatino Linotype"/>
          <w:sz w:val="22"/>
          <w:szCs w:val="22"/>
          <w:lang w:val="en-US"/>
        </w:rPr>
        <w:t xml:space="preserve"> the adoption of a full</w:t>
      </w:r>
      <w:r w:rsidRPr="00612443">
        <w:rPr>
          <w:rFonts w:ascii="Palatino Linotype" w:hAnsi="Palatino Linotype"/>
          <w:sz w:val="22"/>
          <w:szCs w:val="22"/>
          <w:lang w:val="en-US"/>
        </w:rPr>
        <w:t>y</w:t>
      </w:r>
      <w:r w:rsidR="000D18E6" w:rsidRPr="00612443">
        <w:rPr>
          <w:rFonts w:ascii="Palatino Linotype" w:hAnsi="Palatino Linotype"/>
          <w:sz w:val="22"/>
          <w:szCs w:val="22"/>
          <w:lang w:val="en-US"/>
        </w:rPr>
        <w:t xml:space="preserve"> fledge</w:t>
      </w:r>
      <w:r w:rsidRPr="00612443">
        <w:rPr>
          <w:rFonts w:ascii="Palatino Linotype" w:hAnsi="Palatino Linotype"/>
          <w:sz w:val="22"/>
          <w:szCs w:val="22"/>
          <w:lang w:val="en-US"/>
        </w:rPr>
        <w:t>d</w:t>
      </w:r>
      <w:r w:rsidR="000D18E6" w:rsidRPr="00612443">
        <w:rPr>
          <w:rFonts w:ascii="Palatino Linotype" w:hAnsi="Palatino Linotype"/>
          <w:sz w:val="22"/>
          <w:szCs w:val="22"/>
          <w:lang w:val="en-US"/>
        </w:rPr>
        <w:t xml:space="preserve"> inflation targeting regime. Accordingly, a floating regime for the Chilean peso </w:t>
      </w:r>
      <w:r w:rsidRPr="00612443">
        <w:rPr>
          <w:rFonts w:ascii="Palatino Linotype" w:hAnsi="Palatino Linotype"/>
          <w:sz w:val="22"/>
          <w:szCs w:val="22"/>
          <w:lang w:val="en-US"/>
        </w:rPr>
        <w:t>wa</w:t>
      </w:r>
      <w:r w:rsidR="000D18E6" w:rsidRPr="00612443">
        <w:rPr>
          <w:rFonts w:ascii="Palatino Linotype" w:hAnsi="Palatino Linotype"/>
          <w:sz w:val="22"/>
          <w:szCs w:val="22"/>
          <w:lang w:val="en-US"/>
        </w:rPr>
        <w:t xml:space="preserve">s also adopted. Nevertheless, </w:t>
      </w:r>
      <w:r w:rsidRPr="00612443">
        <w:rPr>
          <w:rFonts w:ascii="Palatino Linotype" w:hAnsi="Palatino Linotype"/>
          <w:sz w:val="22"/>
          <w:szCs w:val="22"/>
          <w:lang w:val="en-US"/>
        </w:rPr>
        <w:t>t</w:t>
      </w:r>
      <w:r w:rsidR="000D18E6" w:rsidRPr="00612443">
        <w:rPr>
          <w:rFonts w:ascii="Palatino Linotype" w:hAnsi="Palatino Linotype"/>
          <w:sz w:val="22"/>
          <w:szCs w:val="22"/>
          <w:lang w:val="en-US"/>
        </w:rPr>
        <w:t>he Central Bank of Chile also announce</w:t>
      </w:r>
      <w:r w:rsidRPr="00612443">
        <w:rPr>
          <w:rFonts w:ascii="Palatino Linotype" w:hAnsi="Palatino Linotype"/>
          <w:sz w:val="22"/>
          <w:szCs w:val="22"/>
          <w:lang w:val="en-US"/>
        </w:rPr>
        <w:t>d</w:t>
      </w:r>
      <w:r w:rsidR="000D18E6" w:rsidRPr="00612443">
        <w:rPr>
          <w:rFonts w:ascii="Palatino Linotype" w:hAnsi="Palatino Linotype"/>
          <w:sz w:val="22"/>
          <w:szCs w:val="22"/>
          <w:lang w:val="en-US"/>
        </w:rPr>
        <w:t xml:space="preserve"> that exchange rate interventions </w:t>
      </w:r>
      <w:r w:rsidRPr="00612443">
        <w:rPr>
          <w:rFonts w:ascii="Palatino Linotype" w:hAnsi="Palatino Linotype"/>
          <w:sz w:val="22"/>
          <w:szCs w:val="22"/>
          <w:lang w:val="en-US"/>
        </w:rPr>
        <w:t xml:space="preserve">would </w:t>
      </w:r>
      <w:r w:rsidR="000D18E6" w:rsidRPr="00612443">
        <w:rPr>
          <w:rFonts w:ascii="Palatino Linotype" w:hAnsi="Palatino Linotype"/>
          <w:sz w:val="22"/>
          <w:szCs w:val="22"/>
          <w:lang w:val="en-US"/>
        </w:rPr>
        <w:t>occur if exceptional circumstances justif</w:t>
      </w:r>
      <w:r w:rsidRPr="00612443">
        <w:rPr>
          <w:rFonts w:ascii="Palatino Linotype" w:hAnsi="Palatino Linotype"/>
          <w:sz w:val="22"/>
          <w:szCs w:val="22"/>
          <w:lang w:val="en-US"/>
        </w:rPr>
        <w:t>ied</w:t>
      </w:r>
      <w:r w:rsidR="000D18E6" w:rsidRPr="00612443">
        <w:rPr>
          <w:rFonts w:ascii="Palatino Linotype" w:hAnsi="Palatino Linotype"/>
          <w:sz w:val="22"/>
          <w:szCs w:val="22"/>
          <w:lang w:val="en-US"/>
        </w:rPr>
        <w:t xml:space="preserve"> them. </w:t>
      </w:r>
      <w:r w:rsidR="00DA0988">
        <w:rPr>
          <w:rFonts w:ascii="Palatino Linotype" w:hAnsi="Palatino Linotype"/>
          <w:sz w:val="22"/>
          <w:szCs w:val="22"/>
          <w:lang w:val="en-US"/>
        </w:rPr>
        <w:t>Two natural questions arise</w:t>
      </w:r>
      <w:r w:rsidR="000D18E6" w:rsidRPr="00612443">
        <w:rPr>
          <w:rFonts w:ascii="Palatino Linotype" w:hAnsi="Palatino Linotype"/>
          <w:sz w:val="22"/>
          <w:szCs w:val="22"/>
          <w:lang w:val="en-US"/>
        </w:rPr>
        <w:t xml:space="preserve">: </w:t>
      </w:r>
      <w:r w:rsidR="00DA0988">
        <w:rPr>
          <w:rFonts w:ascii="Palatino Linotype" w:hAnsi="Palatino Linotype"/>
          <w:sz w:val="22"/>
          <w:szCs w:val="22"/>
          <w:lang w:val="en-US"/>
        </w:rPr>
        <w:t>1) A</w:t>
      </w:r>
      <w:r w:rsidR="000D18E6" w:rsidRPr="00612443">
        <w:rPr>
          <w:rFonts w:ascii="Palatino Linotype" w:hAnsi="Palatino Linotype"/>
          <w:sz w:val="22"/>
          <w:szCs w:val="22"/>
          <w:lang w:val="en-US"/>
        </w:rPr>
        <w:t xml:space="preserve">re exceptional interventions </w:t>
      </w:r>
      <w:r w:rsidR="00DA0988">
        <w:rPr>
          <w:rFonts w:ascii="Palatino Linotype" w:hAnsi="Palatino Linotype"/>
          <w:sz w:val="22"/>
          <w:szCs w:val="22"/>
          <w:lang w:val="en-US"/>
        </w:rPr>
        <w:t xml:space="preserve">effective in changing the exchange rate? 2) Are exchange rate interventions </w:t>
      </w:r>
      <w:r w:rsidR="000D18E6" w:rsidRPr="00612443">
        <w:rPr>
          <w:rFonts w:ascii="Palatino Linotype" w:hAnsi="Palatino Linotype"/>
          <w:sz w:val="22"/>
          <w:szCs w:val="22"/>
          <w:lang w:val="en-US"/>
        </w:rPr>
        <w:t xml:space="preserve">in conflict with </w:t>
      </w:r>
      <w:r w:rsidR="00DA0988">
        <w:rPr>
          <w:rFonts w:ascii="Palatino Linotype" w:hAnsi="Palatino Linotype"/>
          <w:sz w:val="22"/>
          <w:szCs w:val="22"/>
          <w:lang w:val="en-US"/>
        </w:rPr>
        <w:t>the</w:t>
      </w:r>
      <w:r w:rsidR="000D18E6" w:rsidRPr="00612443">
        <w:rPr>
          <w:rFonts w:ascii="Palatino Linotype" w:hAnsi="Palatino Linotype"/>
          <w:sz w:val="22"/>
          <w:szCs w:val="22"/>
          <w:lang w:val="en-US"/>
        </w:rPr>
        <w:t xml:space="preserve"> inflation target? </w:t>
      </w:r>
      <w:r w:rsidR="00DA0988">
        <w:rPr>
          <w:rFonts w:ascii="Palatino Linotype" w:hAnsi="Palatino Linotype"/>
          <w:sz w:val="22"/>
          <w:szCs w:val="22"/>
          <w:lang w:val="en-US"/>
        </w:rPr>
        <w:t>In other words, a</w:t>
      </w:r>
      <w:r w:rsidRPr="00612443">
        <w:rPr>
          <w:rFonts w:ascii="Palatino Linotype" w:hAnsi="Palatino Linotype"/>
          <w:sz w:val="22"/>
          <w:szCs w:val="22"/>
          <w:lang w:val="en-US"/>
        </w:rPr>
        <w:t xml:space="preserve">re </w:t>
      </w:r>
      <w:r w:rsidR="000D18E6" w:rsidRPr="00612443">
        <w:rPr>
          <w:rFonts w:ascii="Palatino Linotype" w:hAnsi="Palatino Linotype"/>
          <w:sz w:val="22"/>
          <w:szCs w:val="22"/>
          <w:lang w:val="en-US"/>
        </w:rPr>
        <w:t xml:space="preserve">inflation expectations in danger </w:t>
      </w:r>
      <w:r w:rsidRPr="00612443">
        <w:rPr>
          <w:rFonts w:ascii="Palatino Linotype" w:hAnsi="Palatino Linotype"/>
          <w:sz w:val="22"/>
          <w:szCs w:val="22"/>
          <w:lang w:val="en-US"/>
        </w:rPr>
        <w:t xml:space="preserve">of becoming unanchored </w:t>
      </w:r>
      <w:r w:rsidR="000D18E6" w:rsidRPr="00612443">
        <w:rPr>
          <w:rFonts w:ascii="Palatino Linotype" w:hAnsi="Palatino Linotype"/>
          <w:sz w:val="22"/>
          <w:szCs w:val="22"/>
          <w:lang w:val="en-US"/>
        </w:rPr>
        <w:t xml:space="preserve">when </w:t>
      </w:r>
      <w:r w:rsidRPr="00612443">
        <w:rPr>
          <w:rFonts w:ascii="Palatino Linotype" w:hAnsi="Palatino Linotype"/>
          <w:sz w:val="22"/>
          <w:szCs w:val="22"/>
          <w:lang w:val="en-US"/>
        </w:rPr>
        <w:t xml:space="preserve">such </w:t>
      </w:r>
      <w:r w:rsidR="000D18E6" w:rsidRPr="00612443">
        <w:rPr>
          <w:rFonts w:ascii="Palatino Linotype" w:hAnsi="Palatino Linotype"/>
          <w:sz w:val="22"/>
          <w:szCs w:val="22"/>
          <w:lang w:val="en-US"/>
        </w:rPr>
        <w:t>interventions occur? In this paper</w:t>
      </w:r>
      <w:r w:rsidRPr="00612443">
        <w:rPr>
          <w:rFonts w:ascii="Palatino Linotype" w:hAnsi="Palatino Linotype"/>
          <w:sz w:val="22"/>
          <w:szCs w:val="22"/>
          <w:lang w:val="en-US"/>
        </w:rPr>
        <w:t>,</w:t>
      </w:r>
      <w:r w:rsidR="000D18E6" w:rsidRPr="00612443">
        <w:rPr>
          <w:rFonts w:ascii="Palatino Linotype" w:hAnsi="Palatino Linotype"/>
          <w:sz w:val="22"/>
          <w:szCs w:val="22"/>
          <w:lang w:val="en-US"/>
        </w:rPr>
        <w:t xml:space="preserve"> we address these </w:t>
      </w:r>
      <w:r w:rsidR="00DA0988">
        <w:rPr>
          <w:rFonts w:ascii="Palatino Linotype" w:hAnsi="Palatino Linotype"/>
          <w:sz w:val="22"/>
          <w:szCs w:val="22"/>
          <w:lang w:val="en-US"/>
        </w:rPr>
        <w:t xml:space="preserve">two </w:t>
      </w:r>
      <w:r w:rsidR="000D18E6" w:rsidRPr="00612443">
        <w:rPr>
          <w:rFonts w:ascii="Palatino Linotype" w:hAnsi="Palatino Linotype"/>
          <w:sz w:val="22"/>
          <w:szCs w:val="22"/>
          <w:lang w:val="en-US"/>
        </w:rPr>
        <w:t xml:space="preserve">questions by analyzing whether </w:t>
      </w:r>
      <w:r w:rsidR="00DA0988">
        <w:rPr>
          <w:rFonts w:ascii="Palatino Linotype" w:hAnsi="Palatino Linotype"/>
          <w:sz w:val="22"/>
          <w:szCs w:val="22"/>
          <w:lang w:val="en-US"/>
        </w:rPr>
        <w:t xml:space="preserve">exchange rate interventions had an impact on exchange rate returns and whether </w:t>
      </w:r>
      <w:r w:rsidR="000D18E6" w:rsidRPr="00612443">
        <w:rPr>
          <w:rFonts w:ascii="Palatino Linotype" w:hAnsi="Palatino Linotype"/>
          <w:sz w:val="22"/>
          <w:szCs w:val="22"/>
          <w:lang w:val="en-US"/>
        </w:rPr>
        <w:t xml:space="preserve">the amount of interventions Granger-cause </w:t>
      </w:r>
      <w:r w:rsidR="00D5164E" w:rsidRPr="00612443">
        <w:rPr>
          <w:rFonts w:ascii="Palatino Linotype" w:hAnsi="Palatino Linotype"/>
          <w:sz w:val="22"/>
          <w:szCs w:val="22"/>
          <w:lang w:val="en-US"/>
        </w:rPr>
        <w:t xml:space="preserve">some measure </w:t>
      </w:r>
      <w:r w:rsidR="000D18E6" w:rsidRPr="00612443">
        <w:rPr>
          <w:rFonts w:ascii="Palatino Linotype" w:hAnsi="Palatino Linotype"/>
          <w:sz w:val="22"/>
          <w:szCs w:val="22"/>
          <w:lang w:val="en-US"/>
        </w:rPr>
        <w:t>of inflation expectations.</w:t>
      </w:r>
    </w:p>
    <w:p w:rsidR="00367CD6" w:rsidRPr="00612443" w:rsidRDefault="00367CD6" w:rsidP="00367CD6">
      <w:pPr>
        <w:spacing w:before="60"/>
        <w:ind w:firstLine="300"/>
        <w:rPr>
          <w:rFonts w:ascii="Palatino Linotype" w:hAnsi="Palatino Linotype"/>
          <w:sz w:val="22"/>
          <w:szCs w:val="22"/>
          <w:lang w:val="en-US"/>
        </w:rPr>
      </w:pPr>
    </w:p>
    <w:p w:rsidR="00D67271" w:rsidRDefault="000D18E6" w:rsidP="00D5164E">
      <w:pPr>
        <w:spacing w:before="60"/>
        <w:ind w:firstLine="300"/>
        <w:rPr>
          <w:rFonts w:ascii="Palatino Linotype" w:hAnsi="Palatino Linotype"/>
          <w:sz w:val="22"/>
          <w:szCs w:val="22"/>
          <w:lang w:val="en-US"/>
        </w:rPr>
      </w:pPr>
      <w:r w:rsidRPr="00612443">
        <w:rPr>
          <w:rFonts w:ascii="Palatino Linotype" w:hAnsi="Palatino Linotype"/>
          <w:sz w:val="22"/>
          <w:szCs w:val="22"/>
          <w:lang w:val="en-US"/>
        </w:rPr>
        <w:t>We consider two episodes of preannounced central bank interventions during the sample period 2007</w:t>
      </w:r>
      <w:r w:rsidR="00AC2B54" w:rsidRPr="00612443">
        <w:rPr>
          <w:rFonts w:ascii="Palatino Linotype" w:hAnsi="Palatino Linotype"/>
          <w:sz w:val="22"/>
          <w:szCs w:val="22"/>
          <w:lang w:val="en-US"/>
        </w:rPr>
        <w:t>–</w:t>
      </w:r>
      <w:r w:rsidRPr="00612443">
        <w:rPr>
          <w:rFonts w:ascii="Palatino Linotype" w:hAnsi="Palatino Linotype"/>
          <w:sz w:val="22"/>
          <w:szCs w:val="22"/>
          <w:lang w:val="en-US"/>
        </w:rPr>
        <w:t>2012</w:t>
      </w:r>
      <w:r w:rsidR="00AA7843">
        <w:rPr>
          <w:rFonts w:ascii="Palatino Linotype" w:hAnsi="Palatino Linotype"/>
          <w:sz w:val="22"/>
          <w:szCs w:val="22"/>
          <w:lang w:val="en-US"/>
        </w:rPr>
        <w:t>, we notice here that after 2012 the Central Bank of Chile has not implemented additional interventions programs, which explains why our sample period finishes in 2012.</w:t>
      </w:r>
      <w:r w:rsidRPr="00612443">
        <w:rPr>
          <w:rFonts w:ascii="Palatino Linotype" w:hAnsi="Palatino Linotype"/>
          <w:sz w:val="22"/>
          <w:szCs w:val="22"/>
          <w:lang w:val="en-US"/>
        </w:rPr>
        <w:t xml:space="preserve"> </w:t>
      </w:r>
      <w:r w:rsidR="0095219B" w:rsidRPr="00612443">
        <w:rPr>
          <w:rFonts w:ascii="Palatino Linotype" w:hAnsi="Palatino Linotype"/>
          <w:sz w:val="22"/>
          <w:szCs w:val="22"/>
          <w:lang w:val="en-US"/>
        </w:rPr>
        <w:t xml:space="preserve">Our </w:t>
      </w:r>
      <w:r w:rsidR="0095219B">
        <w:rPr>
          <w:rFonts w:ascii="Palatino Linotype" w:hAnsi="Palatino Linotype"/>
          <w:sz w:val="22"/>
          <w:szCs w:val="22"/>
          <w:lang w:val="en-US"/>
        </w:rPr>
        <w:t>results indicate</w:t>
      </w:r>
      <w:r w:rsidR="0095219B" w:rsidRPr="00612443">
        <w:rPr>
          <w:rFonts w:ascii="Palatino Linotype" w:hAnsi="Palatino Linotype"/>
          <w:sz w:val="22"/>
          <w:szCs w:val="22"/>
          <w:lang w:val="en-US"/>
        </w:rPr>
        <w:t xml:space="preserve"> that interventions did have an impact on daily exchange returns, especially in the following days after the programs were announced.</w:t>
      </w:r>
      <w:r w:rsidR="0095219B">
        <w:rPr>
          <w:rFonts w:ascii="Palatino Linotype" w:hAnsi="Palatino Linotype"/>
          <w:sz w:val="22"/>
          <w:szCs w:val="22"/>
          <w:lang w:val="en-US"/>
        </w:rPr>
        <w:t xml:space="preserve"> Regarding the potential impact on inflation expectations, our findings </w:t>
      </w:r>
      <w:r w:rsidR="00D5164E" w:rsidRPr="00612443">
        <w:rPr>
          <w:rFonts w:ascii="Palatino Linotype" w:hAnsi="Palatino Linotype"/>
          <w:sz w:val="22"/>
          <w:szCs w:val="22"/>
          <w:lang w:val="en-US"/>
        </w:rPr>
        <w:t>using</w:t>
      </w:r>
      <w:r w:rsidR="00DA0988">
        <w:rPr>
          <w:rFonts w:ascii="Palatino Linotype" w:hAnsi="Palatino Linotype"/>
          <w:sz w:val="22"/>
          <w:szCs w:val="22"/>
          <w:lang w:val="en-US"/>
        </w:rPr>
        <w:t xml:space="preserve"> </w:t>
      </w:r>
      <w:r w:rsidR="00D5164E" w:rsidRPr="00612443">
        <w:rPr>
          <w:rFonts w:ascii="Palatino Linotype" w:hAnsi="Palatino Linotype"/>
          <w:sz w:val="22"/>
          <w:szCs w:val="22"/>
          <w:lang w:val="en-US"/>
        </w:rPr>
        <w:t xml:space="preserve">survey-based </w:t>
      </w:r>
      <w:r w:rsidR="00DA0988">
        <w:rPr>
          <w:rFonts w:ascii="Palatino Linotype" w:hAnsi="Palatino Linotype"/>
          <w:sz w:val="22"/>
          <w:szCs w:val="22"/>
          <w:lang w:val="en-US"/>
        </w:rPr>
        <w:t xml:space="preserve">measures </w:t>
      </w:r>
      <w:r w:rsidRPr="00612443">
        <w:rPr>
          <w:rFonts w:ascii="Palatino Linotype" w:hAnsi="Palatino Linotype"/>
          <w:sz w:val="22"/>
          <w:szCs w:val="22"/>
          <w:lang w:val="en-US"/>
        </w:rPr>
        <w:t>indicate that the intervention program carried out in 2008 had a significant, but relatively short</w:t>
      </w:r>
      <w:r w:rsidR="00AC2B54" w:rsidRPr="00612443">
        <w:rPr>
          <w:rFonts w:ascii="Palatino Linotype" w:hAnsi="Palatino Linotype"/>
          <w:sz w:val="22"/>
          <w:szCs w:val="22"/>
          <w:lang w:val="en-US"/>
        </w:rPr>
        <w:t>-</w:t>
      </w:r>
      <w:r w:rsidRPr="00612443">
        <w:rPr>
          <w:rFonts w:ascii="Palatino Linotype" w:hAnsi="Palatino Linotype"/>
          <w:sz w:val="22"/>
          <w:szCs w:val="22"/>
          <w:lang w:val="en-US"/>
        </w:rPr>
        <w:t xml:space="preserve">lived, impact on </w:t>
      </w:r>
      <w:r w:rsidR="00AA7843">
        <w:rPr>
          <w:rFonts w:ascii="Palatino Linotype" w:hAnsi="Palatino Linotype"/>
          <w:sz w:val="22"/>
          <w:szCs w:val="22"/>
          <w:lang w:val="en-US"/>
        </w:rPr>
        <w:t xml:space="preserve">the distribution of </w:t>
      </w:r>
      <w:r w:rsidRPr="00612443">
        <w:rPr>
          <w:rFonts w:ascii="Palatino Linotype" w:hAnsi="Palatino Linotype"/>
          <w:sz w:val="22"/>
          <w:szCs w:val="22"/>
          <w:lang w:val="en-US"/>
        </w:rPr>
        <w:t>inflation expectations at long horizons. In sharp contrast, the intervention carried out in 2011 shows no relevant impact on the distribution of inflation expectations in Chile.</w:t>
      </w:r>
      <w:r w:rsidR="00D5164E" w:rsidRPr="00612443">
        <w:rPr>
          <w:rFonts w:ascii="Palatino Linotype" w:hAnsi="Palatino Linotype"/>
          <w:sz w:val="22"/>
          <w:szCs w:val="22"/>
          <w:lang w:val="en-US"/>
        </w:rPr>
        <w:t xml:space="preserve"> </w:t>
      </w:r>
      <w:r w:rsidR="0095219B">
        <w:rPr>
          <w:rFonts w:ascii="Palatino Linotype" w:hAnsi="Palatino Linotype"/>
          <w:sz w:val="22"/>
          <w:szCs w:val="22"/>
          <w:lang w:val="en-US"/>
        </w:rPr>
        <w:t>A</w:t>
      </w:r>
      <w:r w:rsidR="00DA0988">
        <w:rPr>
          <w:rFonts w:ascii="Palatino Linotype" w:hAnsi="Palatino Linotype"/>
          <w:sz w:val="22"/>
          <w:szCs w:val="22"/>
          <w:lang w:val="en-US"/>
        </w:rPr>
        <w:t xml:space="preserve"> </w:t>
      </w:r>
      <w:r w:rsidR="00CA386A" w:rsidRPr="00612443">
        <w:rPr>
          <w:rFonts w:ascii="Palatino Linotype" w:hAnsi="Palatino Linotype"/>
          <w:sz w:val="22"/>
          <w:szCs w:val="22"/>
          <w:lang w:val="en-US"/>
        </w:rPr>
        <w:t xml:space="preserve">daily analysis using break-even inflation rate as a proxy for inflation expectations is roughly consistent with these results. </w:t>
      </w:r>
    </w:p>
    <w:p w:rsidR="0095219B" w:rsidRPr="00612443" w:rsidRDefault="0095219B" w:rsidP="00D5164E">
      <w:pPr>
        <w:spacing w:before="60"/>
        <w:ind w:firstLine="300"/>
        <w:rPr>
          <w:rFonts w:ascii="Palatino Linotype" w:hAnsi="Palatino Linotype"/>
          <w:sz w:val="22"/>
          <w:szCs w:val="22"/>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 xml:space="preserve">In the last few decades, an important number of emerging economies have adopted </w:t>
      </w:r>
      <w:r w:rsidR="00AC2B54" w:rsidRPr="00612443">
        <w:rPr>
          <w:rFonts w:ascii="Palatino Linotype" w:hAnsi="Palatino Linotype"/>
          <w:sz w:val="22"/>
          <w:szCs w:val="22"/>
          <w:lang w:val="en-US"/>
        </w:rPr>
        <w:t>inflation targeting regimes</w:t>
      </w:r>
      <w:r w:rsidRPr="00612443">
        <w:rPr>
          <w:rFonts w:ascii="Palatino Linotype" w:hAnsi="Palatino Linotype"/>
          <w:sz w:val="22"/>
          <w:szCs w:val="22"/>
          <w:lang w:val="en-US"/>
        </w:rPr>
        <w:t xml:space="preserve"> (ITR) for conducting their monetary policy. According to Mishkin (2000), several conditions are required for the adoption of such schemes. In particular, a purely floating exchange rate regime is needed. This is a critical, or at the very least, controversial condition for emerging economies</w:t>
      </w:r>
      <w:r w:rsidR="00AC2B54" w:rsidRPr="00612443">
        <w:rPr>
          <w:rFonts w:ascii="Palatino Linotype" w:hAnsi="Palatino Linotype"/>
          <w:sz w:val="22"/>
          <w:szCs w:val="22"/>
          <w:lang w:val="en-US"/>
        </w:rPr>
        <w:t>,</w:t>
      </w:r>
      <w:r w:rsidRPr="00612443">
        <w:rPr>
          <w:rFonts w:ascii="Palatino Linotype" w:hAnsi="Palatino Linotype"/>
          <w:sz w:val="22"/>
          <w:szCs w:val="22"/>
          <w:lang w:val="en-US"/>
        </w:rPr>
        <w:t xml:space="preserve"> which have a long tradition of using explicit or implicit exchange rate targets aimed at either achieving low and stable inflation or at improving the competitiveness of their economy. In this regard, in many cases the transition toward a full</w:t>
      </w:r>
      <w:r w:rsidR="00AC2B54" w:rsidRPr="00612443">
        <w:rPr>
          <w:rFonts w:ascii="Palatino Linotype" w:hAnsi="Palatino Linotype"/>
          <w:sz w:val="22"/>
          <w:szCs w:val="22"/>
          <w:lang w:val="en-US"/>
        </w:rPr>
        <w:t>y</w:t>
      </w:r>
      <w:r w:rsidRPr="00612443">
        <w:rPr>
          <w:rFonts w:ascii="Palatino Linotype" w:hAnsi="Palatino Linotype"/>
          <w:sz w:val="22"/>
          <w:szCs w:val="22"/>
          <w:lang w:val="en-US"/>
        </w:rPr>
        <w:t xml:space="preserve"> fledge</w:t>
      </w:r>
      <w:r w:rsidR="00AC2B54" w:rsidRPr="00612443">
        <w:rPr>
          <w:rFonts w:ascii="Palatino Linotype" w:hAnsi="Palatino Linotype"/>
          <w:sz w:val="22"/>
          <w:szCs w:val="22"/>
          <w:lang w:val="en-US"/>
        </w:rPr>
        <w:t>d</w:t>
      </w:r>
      <w:r w:rsidRPr="00612443">
        <w:rPr>
          <w:rFonts w:ascii="Palatino Linotype" w:hAnsi="Palatino Linotype"/>
          <w:sz w:val="22"/>
          <w:szCs w:val="22"/>
          <w:lang w:val="en-US"/>
        </w:rPr>
        <w:t xml:space="preserve"> inflation targeting regime has been a little impure at times, </w:t>
      </w:r>
      <w:r w:rsidR="00AC2B54" w:rsidRPr="00612443">
        <w:rPr>
          <w:rFonts w:ascii="Palatino Linotype" w:hAnsi="Palatino Linotype"/>
          <w:sz w:val="22"/>
          <w:szCs w:val="22"/>
          <w:lang w:val="en-US"/>
        </w:rPr>
        <w:t xml:space="preserve">given </w:t>
      </w:r>
      <w:r w:rsidRPr="00612443">
        <w:rPr>
          <w:rFonts w:ascii="Palatino Linotype" w:hAnsi="Palatino Linotype"/>
          <w:sz w:val="22"/>
          <w:szCs w:val="22"/>
          <w:lang w:val="en-US"/>
        </w:rPr>
        <w:t>that exchange rate interventions have occurred with some frequency.</w:t>
      </w:r>
    </w:p>
    <w:p w:rsidR="00367CD6" w:rsidRPr="00612443" w:rsidRDefault="00367CD6">
      <w:pPr>
        <w:ind w:firstLine="300"/>
        <w:rPr>
          <w:rFonts w:ascii="Palatino Linotype" w:hAnsi="Palatino Linotype"/>
          <w:sz w:val="22"/>
          <w:szCs w:val="22"/>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 xml:space="preserve">If we take seriously the well known </w:t>
      </w:r>
      <w:r w:rsidR="00C83B2D" w:rsidRPr="00612443">
        <w:rPr>
          <w:rFonts w:ascii="Palatino Linotype" w:hAnsi="Palatino Linotype"/>
          <w:sz w:val="22"/>
          <w:szCs w:val="22"/>
          <w:lang w:val="en-US"/>
        </w:rPr>
        <w:t>“</w:t>
      </w:r>
      <w:r w:rsidRPr="00612443">
        <w:rPr>
          <w:rFonts w:ascii="Palatino Linotype" w:hAnsi="Palatino Linotype"/>
          <w:sz w:val="22"/>
          <w:szCs w:val="22"/>
          <w:lang w:val="en-US"/>
        </w:rPr>
        <w:t>impossible trinity</w:t>
      </w:r>
      <w:r w:rsidR="00C83B2D" w:rsidRPr="00612443">
        <w:rPr>
          <w:rFonts w:ascii="Palatino Linotype" w:hAnsi="Palatino Linotype"/>
          <w:sz w:val="22"/>
          <w:szCs w:val="22"/>
          <w:lang w:val="en-US"/>
        </w:rPr>
        <w:t>”</w:t>
      </w:r>
      <w:r w:rsidRPr="00612443">
        <w:rPr>
          <w:rFonts w:ascii="Palatino Linotype" w:hAnsi="Palatino Linotype"/>
          <w:sz w:val="22"/>
          <w:szCs w:val="22"/>
          <w:lang w:val="en-US"/>
        </w:rPr>
        <w:t xml:space="preserve">, small open economies implementing a </w:t>
      </w:r>
      <w:r w:rsidR="00C83B2D" w:rsidRPr="00612443">
        <w:rPr>
          <w:rFonts w:ascii="Palatino Linotype" w:hAnsi="Palatino Linotype"/>
          <w:sz w:val="22"/>
          <w:szCs w:val="22"/>
          <w:lang w:val="en-US"/>
        </w:rPr>
        <w:t>fully fledged</w:t>
      </w:r>
      <w:r w:rsidRPr="00612443">
        <w:rPr>
          <w:rFonts w:ascii="Palatino Linotype" w:hAnsi="Palatino Linotype"/>
          <w:sz w:val="22"/>
          <w:szCs w:val="22"/>
          <w:lang w:val="en-US"/>
        </w:rPr>
        <w:t xml:space="preserve"> inflation targeting regime should refrain from attempts to explicitly intervene </w:t>
      </w:r>
      <w:r w:rsidR="00C83B2D" w:rsidRPr="00612443">
        <w:rPr>
          <w:rFonts w:ascii="Palatino Linotype" w:hAnsi="Palatino Linotype"/>
          <w:sz w:val="22"/>
          <w:szCs w:val="22"/>
          <w:lang w:val="en-US"/>
        </w:rPr>
        <w:t xml:space="preserve">in </w:t>
      </w:r>
      <w:r w:rsidRPr="00612443">
        <w:rPr>
          <w:rFonts w:ascii="Palatino Linotype" w:hAnsi="Palatino Linotype"/>
          <w:sz w:val="22"/>
          <w:szCs w:val="22"/>
          <w:lang w:val="en-US"/>
        </w:rPr>
        <w:t>the foreign exchange market</w:t>
      </w:r>
      <w:r w:rsidR="00C83B2D" w:rsidRPr="00612443">
        <w:rPr>
          <w:rFonts w:ascii="Palatino Linotype" w:hAnsi="Palatino Linotype"/>
          <w:sz w:val="22"/>
          <w:szCs w:val="22"/>
          <w:lang w:val="en-US"/>
        </w:rPr>
        <w:t>.</w:t>
      </w:r>
      <w:r w:rsidR="00CA386A" w:rsidRPr="00612443">
        <w:rPr>
          <w:rStyle w:val="Refdenotaalpie"/>
          <w:rFonts w:ascii="Palatino Linotype" w:hAnsi="Palatino Linotype"/>
          <w:sz w:val="22"/>
          <w:szCs w:val="22"/>
          <w:lang w:val="en-US"/>
        </w:rPr>
        <w:footnoteReference w:id="3"/>
      </w:r>
      <w:r w:rsidRPr="00612443">
        <w:rPr>
          <w:rFonts w:ascii="Palatino Linotype" w:hAnsi="Palatino Linotype"/>
          <w:sz w:val="22"/>
          <w:szCs w:val="22"/>
          <w:lang w:val="en-US"/>
        </w:rPr>
        <w:t xml:space="preserve"> In this context, interventions should </w:t>
      </w:r>
      <w:r w:rsidR="00C83B2D" w:rsidRPr="00612443">
        <w:rPr>
          <w:rFonts w:ascii="Palatino Linotype" w:hAnsi="Palatino Linotype"/>
          <w:sz w:val="22"/>
          <w:szCs w:val="22"/>
          <w:lang w:val="en-US"/>
        </w:rPr>
        <w:t xml:space="preserve">in theory </w:t>
      </w:r>
      <w:r w:rsidRPr="00612443">
        <w:rPr>
          <w:rFonts w:ascii="Palatino Linotype" w:hAnsi="Palatino Linotype"/>
          <w:sz w:val="22"/>
          <w:szCs w:val="22"/>
          <w:lang w:val="en-US"/>
        </w:rPr>
        <w:t xml:space="preserve">be useless and furthermore they </w:t>
      </w:r>
      <w:r w:rsidR="00C83B2D" w:rsidRPr="00612443">
        <w:rPr>
          <w:rFonts w:ascii="Palatino Linotype" w:hAnsi="Palatino Linotype"/>
          <w:sz w:val="22"/>
          <w:szCs w:val="22"/>
          <w:lang w:val="en-US"/>
        </w:rPr>
        <w:t xml:space="preserve">have the potential to </w:t>
      </w:r>
      <w:r w:rsidRPr="00612443">
        <w:rPr>
          <w:rFonts w:ascii="Palatino Linotype" w:hAnsi="Palatino Linotype"/>
          <w:sz w:val="22"/>
          <w:szCs w:val="22"/>
          <w:lang w:val="en-US"/>
        </w:rPr>
        <w:t xml:space="preserve">interfere with the inflation </w:t>
      </w:r>
      <w:r w:rsidRPr="00612443">
        <w:rPr>
          <w:rFonts w:ascii="Palatino Linotype" w:hAnsi="Palatino Linotype"/>
          <w:sz w:val="22"/>
          <w:szCs w:val="22"/>
          <w:lang w:val="en-US"/>
        </w:rPr>
        <w:lastRenderedPageBreak/>
        <w:t xml:space="preserve">target and </w:t>
      </w:r>
      <w:r w:rsidR="00C83B2D" w:rsidRPr="00612443">
        <w:rPr>
          <w:rFonts w:ascii="Palatino Linotype" w:hAnsi="Palatino Linotype"/>
          <w:sz w:val="22"/>
          <w:szCs w:val="22"/>
          <w:lang w:val="en-US"/>
        </w:rPr>
        <w:t xml:space="preserve">to compromise </w:t>
      </w:r>
      <w:r w:rsidRPr="00612443">
        <w:rPr>
          <w:rFonts w:ascii="Palatino Linotype" w:hAnsi="Palatino Linotype"/>
          <w:sz w:val="22"/>
          <w:szCs w:val="22"/>
          <w:lang w:val="en-US"/>
        </w:rPr>
        <w:t>the key role that inflation expectations play in this monetary system.</w:t>
      </w:r>
    </w:p>
    <w:p w:rsidR="00367CD6" w:rsidRPr="00612443" w:rsidRDefault="00367CD6">
      <w:pPr>
        <w:ind w:firstLine="300"/>
        <w:rPr>
          <w:rFonts w:ascii="Palatino Linotype" w:hAnsi="Palatino Linotype"/>
          <w:sz w:val="22"/>
          <w:szCs w:val="22"/>
          <w:lang w:val="en-US"/>
        </w:rPr>
      </w:pPr>
    </w:p>
    <w:p w:rsidR="00D67271" w:rsidRPr="00612443" w:rsidRDefault="00B67AF3">
      <w:pPr>
        <w:ind w:firstLine="300"/>
        <w:rPr>
          <w:rFonts w:ascii="Palatino Linotype" w:hAnsi="Palatino Linotype"/>
          <w:sz w:val="22"/>
          <w:szCs w:val="22"/>
          <w:lang w:val="en-US"/>
        </w:rPr>
      </w:pPr>
      <w:r w:rsidRPr="00612443">
        <w:rPr>
          <w:rFonts w:ascii="Palatino Linotype" w:hAnsi="Palatino Linotype"/>
          <w:sz w:val="22"/>
          <w:szCs w:val="22"/>
          <w:lang w:val="en-US"/>
        </w:rPr>
        <w:t xml:space="preserve">Beyond any theoretical argument, in practice small open economies implementing inflation targeting regimes do intervene </w:t>
      </w:r>
      <w:r w:rsidR="00C83B2D" w:rsidRPr="00612443">
        <w:rPr>
          <w:rFonts w:ascii="Palatino Linotype" w:hAnsi="Palatino Linotype"/>
          <w:sz w:val="22"/>
          <w:szCs w:val="22"/>
          <w:lang w:val="en-US"/>
        </w:rPr>
        <w:t xml:space="preserve">in </w:t>
      </w:r>
      <w:r w:rsidRPr="00612443">
        <w:rPr>
          <w:rFonts w:ascii="Palatino Linotype" w:hAnsi="Palatino Linotype"/>
          <w:sz w:val="22"/>
          <w:szCs w:val="22"/>
          <w:lang w:val="en-US"/>
        </w:rPr>
        <w:t>the exchange rate market</w:t>
      </w:r>
      <w:r w:rsidR="00AA7843">
        <w:rPr>
          <w:rFonts w:ascii="Palatino Linotype" w:hAnsi="Palatino Linotype"/>
          <w:sz w:val="22"/>
          <w:szCs w:val="22"/>
          <w:lang w:val="en-US"/>
        </w:rPr>
        <w:t>, sometimes quite often</w:t>
      </w:r>
      <w:r w:rsidRPr="00612443">
        <w:rPr>
          <w:rFonts w:ascii="Palatino Linotype" w:hAnsi="Palatino Linotype"/>
          <w:sz w:val="22"/>
          <w:szCs w:val="22"/>
          <w:lang w:val="en-US"/>
        </w:rPr>
        <w:t xml:space="preserve">. The effectiveness of these </w:t>
      </w:r>
      <w:r w:rsidR="00E7603C" w:rsidRPr="00612443">
        <w:rPr>
          <w:rFonts w:ascii="Palatino Linotype" w:hAnsi="Palatino Linotype"/>
          <w:sz w:val="22"/>
          <w:szCs w:val="22"/>
          <w:lang w:val="en-US"/>
        </w:rPr>
        <w:t xml:space="preserve">sterilised </w:t>
      </w:r>
      <w:r w:rsidRPr="00612443">
        <w:rPr>
          <w:rFonts w:ascii="Palatino Linotype" w:hAnsi="Palatino Linotype"/>
          <w:sz w:val="22"/>
          <w:szCs w:val="22"/>
          <w:lang w:val="en-US"/>
        </w:rPr>
        <w:t xml:space="preserve">interventions is </w:t>
      </w:r>
      <w:r w:rsidR="00C83B2D" w:rsidRPr="00612443">
        <w:rPr>
          <w:rFonts w:ascii="Palatino Linotype" w:hAnsi="Palatino Linotype"/>
          <w:sz w:val="22"/>
          <w:szCs w:val="22"/>
          <w:lang w:val="en-US"/>
        </w:rPr>
        <w:t xml:space="preserve">the </w:t>
      </w:r>
      <w:r w:rsidRPr="00612443">
        <w:rPr>
          <w:rFonts w:ascii="Palatino Linotype" w:hAnsi="Palatino Linotype"/>
          <w:sz w:val="22"/>
          <w:szCs w:val="22"/>
          <w:lang w:val="en-US"/>
        </w:rPr>
        <w:t xml:space="preserve">subject of debate and the empirical evidence </w:t>
      </w:r>
      <w:r w:rsidR="00C83B2D" w:rsidRPr="00612443">
        <w:rPr>
          <w:rFonts w:ascii="Palatino Linotype" w:hAnsi="Palatino Linotype"/>
          <w:sz w:val="22"/>
          <w:szCs w:val="22"/>
          <w:lang w:val="en-US"/>
        </w:rPr>
        <w:t xml:space="preserve">is </w:t>
      </w:r>
      <w:r w:rsidRPr="00612443">
        <w:rPr>
          <w:rFonts w:ascii="Palatino Linotype" w:hAnsi="Palatino Linotype"/>
          <w:sz w:val="22"/>
          <w:szCs w:val="22"/>
          <w:lang w:val="en-US"/>
        </w:rPr>
        <w:t>mixed</w:t>
      </w:r>
      <w:r w:rsidR="00C83B2D" w:rsidRPr="00612443">
        <w:rPr>
          <w:rFonts w:ascii="Palatino Linotype" w:hAnsi="Palatino Linotype"/>
          <w:sz w:val="22"/>
          <w:szCs w:val="22"/>
          <w:lang w:val="en-US"/>
        </w:rPr>
        <w:t>:</w:t>
      </w:r>
      <w:r w:rsidRPr="00612443">
        <w:rPr>
          <w:rFonts w:ascii="Palatino Linotype" w:hAnsi="Palatino Linotype"/>
          <w:sz w:val="22"/>
          <w:szCs w:val="22"/>
          <w:lang w:val="en-US"/>
        </w:rPr>
        <w:t xml:space="preserve"> see</w:t>
      </w:r>
      <w:r w:rsidR="00C83B2D" w:rsidRPr="00612443">
        <w:rPr>
          <w:rFonts w:ascii="Palatino Linotype" w:hAnsi="Palatino Linotype"/>
          <w:sz w:val="22"/>
          <w:szCs w:val="22"/>
          <w:lang w:val="en-US"/>
        </w:rPr>
        <w:t>,</w:t>
      </w:r>
      <w:r w:rsidRPr="00612443">
        <w:rPr>
          <w:rFonts w:ascii="Palatino Linotype" w:hAnsi="Palatino Linotype"/>
          <w:sz w:val="22"/>
          <w:szCs w:val="22"/>
          <w:lang w:val="en-US"/>
        </w:rPr>
        <w:t xml:space="preserve"> for instance</w:t>
      </w:r>
      <w:r w:rsidR="00C83B2D" w:rsidRPr="00612443">
        <w:rPr>
          <w:rFonts w:ascii="Palatino Linotype" w:hAnsi="Palatino Linotype"/>
          <w:sz w:val="22"/>
          <w:szCs w:val="22"/>
          <w:lang w:val="en-US"/>
        </w:rPr>
        <w:t>,</w:t>
      </w:r>
      <w:r w:rsidR="007E07EA" w:rsidRPr="00612443">
        <w:rPr>
          <w:rFonts w:ascii="Palatino Linotype" w:hAnsi="Palatino Linotype"/>
          <w:sz w:val="22"/>
          <w:szCs w:val="22"/>
          <w:lang w:val="en-US"/>
        </w:rPr>
        <w:t xml:space="preserve"> Sarno and Taylor (2001)</w:t>
      </w:r>
      <w:r w:rsidRPr="00612443">
        <w:rPr>
          <w:rFonts w:ascii="Palatino Linotype" w:hAnsi="Palatino Linotype"/>
          <w:sz w:val="22"/>
          <w:szCs w:val="22"/>
          <w:lang w:val="en-US"/>
        </w:rPr>
        <w:t xml:space="preserve">, </w:t>
      </w:r>
      <w:r w:rsidR="007E07EA" w:rsidRPr="00612443">
        <w:rPr>
          <w:rFonts w:ascii="Palatino Linotype" w:hAnsi="Palatino Linotype"/>
          <w:sz w:val="22"/>
          <w:szCs w:val="22"/>
          <w:lang w:val="en-US"/>
        </w:rPr>
        <w:t>Kamil (2008), Broto</w:t>
      </w:r>
      <w:r w:rsidR="00AC17FA" w:rsidRPr="00612443">
        <w:rPr>
          <w:rFonts w:ascii="Palatino Linotype" w:hAnsi="Palatino Linotype"/>
          <w:sz w:val="22"/>
          <w:szCs w:val="22"/>
          <w:lang w:val="en-US"/>
        </w:rPr>
        <w:t xml:space="preserve"> </w:t>
      </w:r>
      <w:r w:rsidR="007E07EA" w:rsidRPr="00612443">
        <w:rPr>
          <w:rFonts w:ascii="Palatino Linotype" w:hAnsi="Palatino Linotype"/>
          <w:sz w:val="22"/>
          <w:szCs w:val="22"/>
          <w:lang w:val="en-US"/>
        </w:rPr>
        <w:t>(2013), Adler and Tovar (201</w:t>
      </w:r>
      <w:r w:rsidR="0095219B">
        <w:rPr>
          <w:rFonts w:ascii="Palatino Linotype" w:hAnsi="Palatino Linotype"/>
          <w:sz w:val="22"/>
          <w:szCs w:val="22"/>
          <w:lang w:val="en-US"/>
        </w:rPr>
        <w:t>4</w:t>
      </w:r>
      <w:r w:rsidR="007E07EA" w:rsidRPr="00612443">
        <w:rPr>
          <w:rFonts w:ascii="Palatino Linotype" w:hAnsi="Palatino Linotype"/>
          <w:sz w:val="22"/>
          <w:szCs w:val="22"/>
          <w:lang w:val="en-US"/>
        </w:rPr>
        <w:t>)</w:t>
      </w:r>
      <w:r w:rsidR="00AC17FA" w:rsidRPr="00612443">
        <w:rPr>
          <w:rFonts w:ascii="Palatino Linotype" w:hAnsi="Palatino Linotype"/>
          <w:sz w:val="22"/>
          <w:szCs w:val="22"/>
          <w:lang w:val="en-US"/>
        </w:rPr>
        <w:t>, Dominguez (2006)</w:t>
      </w:r>
      <w:r w:rsidR="00B9068F" w:rsidRPr="00612443">
        <w:rPr>
          <w:rFonts w:ascii="Palatino Linotype" w:hAnsi="Palatino Linotype"/>
          <w:sz w:val="22"/>
          <w:szCs w:val="22"/>
          <w:lang w:val="en-US"/>
        </w:rPr>
        <w:t>, Fatum and Hutchison (2003)</w:t>
      </w:r>
      <w:r w:rsidR="007E07EA" w:rsidRPr="00612443">
        <w:rPr>
          <w:rFonts w:ascii="Palatino Linotype" w:hAnsi="Palatino Linotype"/>
          <w:sz w:val="22"/>
          <w:szCs w:val="22"/>
          <w:lang w:val="en-US"/>
        </w:rPr>
        <w:t xml:space="preserve"> and </w:t>
      </w:r>
      <w:r w:rsidRPr="00612443">
        <w:rPr>
          <w:rFonts w:ascii="Palatino Linotype" w:hAnsi="Palatino Linotype"/>
          <w:sz w:val="22"/>
          <w:szCs w:val="22"/>
          <w:lang w:val="en-US"/>
        </w:rPr>
        <w:t>Cont</w:t>
      </w:r>
      <w:r w:rsidR="00E7603C" w:rsidRPr="00612443">
        <w:rPr>
          <w:rFonts w:ascii="Palatino Linotype" w:hAnsi="Palatino Linotype"/>
          <w:sz w:val="22"/>
          <w:szCs w:val="22"/>
          <w:lang w:val="en-US"/>
        </w:rPr>
        <w:t>reras, Pistelli and Sáez (2013)</w:t>
      </w:r>
      <w:r w:rsidR="007E07EA" w:rsidRPr="00612443">
        <w:rPr>
          <w:rFonts w:ascii="Palatino Linotype" w:hAnsi="Palatino Linotype"/>
          <w:sz w:val="22"/>
          <w:szCs w:val="22"/>
          <w:lang w:val="en-US"/>
        </w:rPr>
        <w:t xml:space="preserve"> for some examples </w:t>
      </w:r>
      <w:r w:rsidR="00AC17FA" w:rsidRPr="00612443">
        <w:rPr>
          <w:rFonts w:ascii="Palatino Linotype" w:hAnsi="Palatino Linotype"/>
          <w:sz w:val="22"/>
          <w:szCs w:val="22"/>
          <w:lang w:val="en-US"/>
        </w:rPr>
        <w:t>of articles investigating the effectiveness of interventions</w:t>
      </w:r>
      <w:r w:rsidR="007E07EA" w:rsidRPr="00612443">
        <w:rPr>
          <w:rFonts w:ascii="Palatino Linotype" w:hAnsi="Palatino Linotype"/>
          <w:sz w:val="22"/>
          <w:szCs w:val="22"/>
          <w:lang w:val="en-US"/>
        </w:rPr>
        <w:t>.</w:t>
      </w:r>
      <w:r w:rsidR="00E7603C" w:rsidRPr="00612443">
        <w:rPr>
          <w:rFonts w:ascii="Palatino Linotype" w:hAnsi="Palatino Linotype"/>
          <w:sz w:val="22"/>
          <w:szCs w:val="22"/>
          <w:lang w:val="en-US"/>
        </w:rPr>
        <w:t xml:space="preserve"> </w:t>
      </w:r>
      <w:r w:rsidR="00AC17FA" w:rsidRPr="00612443">
        <w:rPr>
          <w:rFonts w:ascii="Palatino Linotype" w:hAnsi="Palatino Linotype"/>
          <w:sz w:val="22"/>
          <w:szCs w:val="22"/>
          <w:lang w:val="en-US"/>
        </w:rPr>
        <w:t xml:space="preserve">Another interesting topic associated </w:t>
      </w:r>
      <w:r w:rsidR="00C83B2D" w:rsidRPr="00612443">
        <w:rPr>
          <w:rFonts w:ascii="Palatino Linotype" w:hAnsi="Palatino Linotype"/>
          <w:sz w:val="22"/>
          <w:szCs w:val="22"/>
          <w:lang w:val="en-US"/>
        </w:rPr>
        <w:t xml:space="preserve">with </w:t>
      </w:r>
      <w:r w:rsidR="00AC17FA" w:rsidRPr="00612443">
        <w:rPr>
          <w:rFonts w:ascii="Palatino Linotype" w:hAnsi="Palatino Linotype"/>
          <w:sz w:val="22"/>
          <w:szCs w:val="22"/>
          <w:lang w:val="en-US"/>
        </w:rPr>
        <w:t>forex interventions is th</w:t>
      </w:r>
      <w:r w:rsidR="00C83B2D" w:rsidRPr="00612443">
        <w:rPr>
          <w:rFonts w:ascii="Palatino Linotype" w:hAnsi="Palatino Linotype"/>
          <w:sz w:val="22"/>
          <w:szCs w:val="22"/>
          <w:lang w:val="en-US"/>
        </w:rPr>
        <w:t xml:space="preserve">at they may </w:t>
      </w:r>
      <w:r w:rsidR="00FD6C70" w:rsidRPr="00612443">
        <w:rPr>
          <w:rFonts w:ascii="Palatino Linotype" w:hAnsi="Palatino Linotype"/>
          <w:sz w:val="22"/>
          <w:szCs w:val="22"/>
          <w:lang w:val="en-US"/>
        </w:rPr>
        <w:t>potential</w:t>
      </w:r>
      <w:r w:rsidR="00C83B2D" w:rsidRPr="00612443">
        <w:rPr>
          <w:rFonts w:ascii="Palatino Linotype" w:hAnsi="Palatino Linotype"/>
          <w:sz w:val="22"/>
          <w:szCs w:val="22"/>
          <w:lang w:val="en-US"/>
        </w:rPr>
        <w:t>ly</w:t>
      </w:r>
      <w:r w:rsidR="00FD6C70" w:rsidRPr="00612443">
        <w:rPr>
          <w:rFonts w:ascii="Palatino Linotype" w:hAnsi="Palatino Linotype"/>
          <w:sz w:val="22"/>
          <w:szCs w:val="22"/>
          <w:lang w:val="en-US"/>
        </w:rPr>
        <w:t xml:space="preserve"> conflict with the conduct of monetary policy. This is important because, i</w:t>
      </w:r>
      <w:r w:rsidRPr="00612443">
        <w:rPr>
          <w:rFonts w:ascii="Palatino Linotype" w:hAnsi="Palatino Linotype"/>
          <w:sz w:val="22"/>
          <w:szCs w:val="22"/>
          <w:lang w:val="en-US"/>
        </w:rPr>
        <w:t xml:space="preserve">rrespective </w:t>
      </w:r>
      <w:r w:rsidR="007E07EA" w:rsidRPr="00612443">
        <w:rPr>
          <w:rFonts w:ascii="Palatino Linotype" w:hAnsi="Palatino Linotype"/>
          <w:sz w:val="22"/>
          <w:szCs w:val="22"/>
          <w:lang w:val="en-US"/>
        </w:rPr>
        <w:t>of their effectiveness</w:t>
      </w:r>
      <w:r w:rsidRPr="00612443">
        <w:rPr>
          <w:rFonts w:ascii="Palatino Linotype" w:hAnsi="Palatino Linotype"/>
          <w:sz w:val="22"/>
          <w:szCs w:val="22"/>
          <w:lang w:val="en-US"/>
        </w:rPr>
        <w:t xml:space="preserve">, </w:t>
      </w:r>
      <w:r w:rsidR="007E07EA" w:rsidRPr="00612443">
        <w:rPr>
          <w:rFonts w:ascii="Palatino Linotype" w:hAnsi="Palatino Linotype"/>
          <w:sz w:val="22"/>
          <w:szCs w:val="22"/>
          <w:lang w:val="en-US"/>
        </w:rPr>
        <w:t>interventions</w:t>
      </w:r>
      <w:r w:rsidRPr="00612443">
        <w:rPr>
          <w:rFonts w:ascii="Palatino Linotype" w:hAnsi="Palatino Linotype"/>
          <w:sz w:val="22"/>
          <w:szCs w:val="22"/>
          <w:lang w:val="en-US"/>
        </w:rPr>
        <w:t xml:space="preserve"> could have side effects on other variables of the economy and, as mentioned by Gersl and Holub (2006) and Gnabo, Mello and Moccero (2010), they </w:t>
      </w:r>
      <w:r w:rsidR="007E07EA" w:rsidRPr="00612443">
        <w:rPr>
          <w:rFonts w:ascii="Palatino Linotype" w:hAnsi="Palatino Linotype"/>
          <w:sz w:val="22"/>
          <w:szCs w:val="22"/>
          <w:lang w:val="en-US"/>
        </w:rPr>
        <w:t>might run the risk of</w:t>
      </w:r>
      <w:r w:rsidRPr="00612443">
        <w:rPr>
          <w:rFonts w:ascii="Palatino Linotype" w:hAnsi="Palatino Linotype"/>
          <w:sz w:val="22"/>
          <w:szCs w:val="22"/>
          <w:lang w:val="en-US"/>
        </w:rPr>
        <w:t xml:space="preserve"> be</w:t>
      </w:r>
      <w:r w:rsidR="007E07EA" w:rsidRPr="00612443">
        <w:rPr>
          <w:rFonts w:ascii="Palatino Linotype" w:hAnsi="Palatino Linotype"/>
          <w:sz w:val="22"/>
          <w:szCs w:val="22"/>
          <w:lang w:val="en-US"/>
        </w:rPr>
        <w:t>ing</w:t>
      </w:r>
      <w:r w:rsidRPr="00612443">
        <w:rPr>
          <w:rFonts w:ascii="Palatino Linotype" w:hAnsi="Palatino Linotype"/>
          <w:sz w:val="22"/>
          <w:szCs w:val="22"/>
          <w:lang w:val="en-US"/>
        </w:rPr>
        <w:t xml:space="preserve"> perceived as inconsistent with monetary policy</w:t>
      </w:r>
      <w:r w:rsidR="00C83B2D" w:rsidRPr="00612443">
        <w:rPr>
          <w:rFonts w:ascii="Palatino Linotype" w:hAnsi="Palatino Linotype"/>
          <w:sz w:val="22"/>
          <w:szCs w:val="22"/>
          <w:lang w:val="en-US"/>
        </w:rPr>
        <w:t>.</w:t>
      </w:r>
      <w:r w:rsidR="00AC17FA" w:rsidRPr="00612443">
        <w:rPr>
          <w:rStyle w:val="Refdenotaalpie"/>
          <w:rFonts w:ascii="Palatino Linotype" w:hAnsi="Palatino Linotype"/>
          <w:sz w:val="22"/>
          <w:szCs w:val="22"/>
          <w:lang w:val="en-US"/>
        </w:rPr>
        <w:footnoteReference w:id="4"/>
      </w:r>
      <w:r w:rsidRPr="00612443">
        <w:rPr>
          <w:rFonts w:ascii="Palatino Linotype" w:hAnsi="Palatino Linotype"/>
          <w:sz w:val="22"/>
          <w:szCs w:val="22"/>
          <w:lang w:val="en-US"/>
        </w:rPr>
        <w:t xml:space="preserve"> In particular, they could have the collateral effect of an impact on the distribution of inflation expectations</w:t>
      </w:r>
      <w:r w:rsidR="000D18E6" w:rsidRPr="00612443">
        <w:rPr>
          <w:rFonts w:ascii="Palatino Linotype" w:hAnsi="Palatino Linotype"/>
          <w:sz w:val="22"/>
          <w:szCs w:val="22"/>
          <w:lang w:val="en-US"/>
        </w:rPr>
        <w:t xml:space="preserve">. This is so mainly for two reasons. First, if as a consequence of an intervention there is a shift in the level of the exchange rate, imported inflation will be affected and inflation expectations should reflect this impact. Second, if the intervention is perceived as a policy reaction that is in conflict with the inflationary target, then the monetary authority might lose credibility and inflation expectations might become more reluctant to respond to the </w:t>
      </w:r>
      <w:r w:rsidR="00C83B2D" w:rsidRPr="00612443">
        <w:rPr>
          <w:rFonts w:ascii="Palatino Linotype" w:hAnsi="Palatino Linotype"/>
          <w:sz w:val="22"/>
          <w:szCs w:val="22"/>
          <w:lang w:val="en-US"/>
        </w:rPr>
        <w:t xml:space="preserve">central bank’s </w:t>
      </w:r>
      <w:r w:rsidR="000D18E6" w:rsidRPr="00612443">
        <w:rPr>
          <w:rFonts w:ascii="Palatino Linotype" w:hAnsi="Palatino Linotype"/>
          <w:sz w:val="22"/>
          <w:szCs w:val="22"/>
          <w:lang w:val="en-US"/>
        </w:rPr>
        <w:t>actions</w:t>
      </w:r>
      <w:r w:rsidR="00C83B2D" w:rsidRPr="00612443">
        <w:rPr>
          <w:rFonts w:ascii="Palatino Linotype" w:hAnsi="Palatino Linotype"/>
          <w:sz w:val="22"/>
          <w:szCs w:val="22"/>
          <w:lang w:val="en-US"/>
        </w:rPr>
        <w:t>.</w:t>
      </w:r>
      <w:r w:rsidR="000D18E6" w:rsidRPr="00612443">
        <w:rPr>
          <w:rStyle w:val="Refdenotaalpie"/>
          <w:rFonts w:ascii="Palatino Linotype" w:hAnsi="Palatino Linotype"/>
          <w:sz w:val="22"/>
          <w:szCs w:val="22"/>
          <w:lang w:val="en-US"/>
        </w:rPr>
        <w:footnoteReference w:id="5"/>
      </w:r>
      <w:r w:rsidR="000D18E6" w:rsidRPr="00612443">
        <w:rPr>
          <w:rFonts w:ascii="Palatino Linotype" w:hAnsi="Palatino Linotype"/>
          <w:sz w:val="22"/>
          <w:szCs w:val="22"/>
          <w:lang w:val="en-US"/>
        </w:rPr>
        <w:t xml:space="preserve"> I</w:t>
      </w:r>
      <w:r w:rsidR="00C83B2D" w:rsidRPr="00612443">
        <w:rPr>
          <w:rFonts w:ascii="Palatino Linotype" w:hAnsi="Palatino Linotype"/>
          <w:sz w:val="22"/>
          <w:szCs w:val="22"/>
          <w:lang w:val="en-US"/>
        </w:rPr>
        <w:t>t is i</w:t>
      </w:r>
      <w:r w:rsidR="000D18E6" w:rsidRPr="00612443">
        <w:rPr>
          <w:rFonts w:ascii="Palatino Linotype" w:hAnsi="Palatino Linotype"/>
          <w:sz w:val="22"/>
          <w:szCs w:val="22"/>
          <w:lang w:val="en-US"/>
        </w:rPr>
        <w:t>mportant to say that</w:t>
      </w:r>
      <w:r w:rsidR="00C83B2D" w:rsidRPr="00612443">
        <w:rPr>
          <w:rFonts w:ascii="Palatino Linotype" w:hAnsi="Palatino Linotype"/>
          <w:sz w:val="22"/>
          <w:szCs w:val="22"/>
          <w:lang w:val="en-US"/>
        </w:rPr>
        <w:t>,</w:t>
      </w:r>
      <w:r w:rsidR="000D18E6" w:rsidRPr="00612443">
        <w:rPr>
          <w:rFonts w:ascii="Palatino Linotype" w:hAnsi="Palatino Linotype"/>
          <w:sz w:val="22"/>
          <w:szCs w:val="22"/>
          <w:lang w:val="en-US"/>
        </w:rPr>
        <w:t xml:space="preserve"> even if interventions are sterilized</w:t>
      </w:r>
      <w:r w:rsidR="00C83B2D" w:rsidRPr="00612443">
        <w:rPr>
          <w:rFonts w:ascii="Palatino Linotype" w:hAnsi="Palatino Linotype"/>
          <w:sz w:val="22"/>
          <w:szCs w:val="22"/>
          <w:lang w:val="en-US"/>
        </w:rPr>
        <w:t>,</w:t>
      </w:r>
      <w:r w:rsidR="000D18E6" w:rsidRPr="00612443">
        <w:rPr>
          <w:rFonts w:ascii="Palatino Linotype" w:hAnsi="Palatino Linotype"/>
          <w:sz w:val="22"/>
          <w:szCs w:val="22"/>
          <w:lang w:val="en-US"/>
        </w:rPr>
        <w:t xml:space="preserve"> these two channels </w:t>
      </w:r>
      <w:r w:rsidR="00FD6C70" w:rsidRPr="00612443">
        <w:rPr>
          <w:rFonts w:ascii="Palatino Linotype" w:hAnsi="Palatino Linotype"/>
          <w:sz w:val="22"/>
          <w:szCs w:val="22"/>
          <w:lang w:val="en-US"/>
        </w:rPr>
        <w:t>may</w:t>
      </w:r>
      <w:r w:rsidR="000D18E6" w:rsidRPr="00612443">
        <w:rPr>
          <w:rFonts w:ascii="Palatino Linotype" w:hAnsi="Palatino Linotype"/>
          <w:sz w:val="22"/>
          <w:szCs w:val="22"/>
          <w:lang w:val="en-US"/>
        </w:rPr>
        <w:t xml:space="preserve"> be present.</w:t>
      </w:r>
    </w:p>
    <w:p w:rsidR="00367CD6" w:rsidRPr="00612443" w:rsidRDefault="00367CD6">
      <w:pPr>
        <w:ind w:firstLine="300"/>
        <w:rPr>
          <w:rFonts w:ascii="Palatino Linotype" w:hAnsi="Palatino Linotype"/>
          <w:sz w:val="22"/>
          <w:szCs w:val="22"/>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 xml:space="preserve">The rest of the article is organized as follows. Section </w:t>
      </w:r>
      <w:r w:rsidR="00C83B2D" w:rsidRPr="00612443">
        <w:rPr>
          <w:rFonts w:ascii="Palatino Linotype" w:hAnsi="Palatino Linotype"/>
          <w:sz w:val="22"/>
          <w:szCs w:val="22"/>
          <w:lang w:val="en-US"/>
        </w:rPr>
        <w:t xml:space="preserve">2 </w:t>
      </w:r>
      <w:r w:rsidRPr="00612443">
        <w:rPr>
          <w:rFonts w:ascii="Palatino Linotype" w:hAnsi="Palatino Linotype"/>
          <w:sz w:val="22"/>
          <w:szCs w:val="22"/>
          <w:lang w:val="en-US"/>
        </w:rPr>
        <w:t>presents a short literature review and a description of the Central Bank of Chile</w:t>
      </w:r>
      <w:r w:rsidR="00C83B2D" w:rsidRPr="00612443">
        <w:rPr>
          <w:rFonts w:ascii="Palatino Linotype" w:hAnsi="Palatino Linotype"/>
          <w:sz w:val="22"/>
          <w:szCs w:val="22"/>
          <w:lang w:val="en-US"/>
        </w:rPr>
        <w:t>’s</w:t>
      </w:r>
      <w:r w:rsidRPr="00612443">
        <w:rPr>
          <w:rFonts w:ascii="Palatino Linotype" w:hAnsi="Palatino Linotype"/>
          <w:sz w:val="22"/>
          <w:szCs w:val="22"/>
          <w:lang w:val="en-US"/>
        </w:rPr>
        <w:t xml:space="preserve"> </w:t>
      </w:r>
      <w:r w:rsidR="00C83B2D" w:rsidRPr="00612443">
        <w:rPr>
          <w:rFonts w:ascii="Palatino Linotype" w:hAnsi="Palatino Linotype"/>
          <w:sz w:val="22"/>
          <w:szCs w:val="22"/>
          <w:lang w:val="en-US"/>
        </w:rPr>
        <w:t xml:space="preserve">history </w:t>
      </w:r>
      <w:r w:rsidRPr="00612443">
        <w:rPr>
          <w:rFonts w:ascii="Palatino Linotype" w:hAnsi="Palatino Linotype"/>
          <w:sz w:val="22"/>
          <w:szCs w:val="22"/>
          <w:lang w:val="en-US"/>
        </w:rPr>
        <w:t xml:space="preserve">of interventions. In </w:t>
      </w:r>
      <w:r w:rsidR="00C83B2D" w:rsidRPr="00612443">
        <w:rPr>
          <w:rFonts w:ascii="Palatino Linotype" w:hAnsi="Palatino Linotype"/>
          <w:sz w:val="22"/>
          <w:szCs w:val="22"/>
          <w:lang w:val="en-US"/>
        </w:rPr>
        <w:t>S</w:t>
      </w:r>
      <w:r w:rsidRPr="00612443">
        <w:rPr>
          <w:rFonts w:ascii="Palatino Linotype" w:hAnsi="Palatino Linotype"/>
          <w:sz w:val="22"/>
          <w:szCs w:val="22"/>
          <w:lang w:val="en-US"/>
        </w:rPr>
        <w:t xml:space="preserve">ection </w:t>
      </w:r>
      <w:r w:rsidR="00C83B2D" w:rsidRPr="00612443">
        <w:rPr>
          <w:rFonts w:ascii="Palatino Linotype" w:hAnsi="Palatino Linotype"/>
          <w:sz w:val="22"/>
          <w:szCs w:val="22"/>
          <w:lang w:val="en-US"/>
        </w:rPr>
        <w:t xml:space="preserve">3 </w:t>
      </w:r>
      <w:r w:rsidRPr="00612443">
        <w:rPr>
          <w:rFonts w:ascii="Palatino Linotype" w:hAnsi="Palatino Linotype"/>
          <w:sz w:val="22"/>
          <w:szCs w:val="22"/>
          <w:lang w:val="en-US"/>
        </w:rPr>
        <w:t xml:space="preserve">we present our empirical approach and our results. Section </w:t>
      </w:r>
      <w:r w:rsidR="00C83B2D" w:rsidRPr="00612443">
        <w:rPr>
          <w:rFonts w:ascii="Palatino Linotype" w:hAnsi="Palatino Linotype"/>
          <w:sz w:val="22"/>
          <w:szCs w:val="22"/>
          <w:lang w:val="en-US"/>
        </w:rPr>
        <w:t xml:space="preserve">4 </w:t>
      </w:r>
      <w:r w:rsidRPr="00612443">
        <w:rPr>
          <w:rFonts w:ascii="Palatino Linotype" w:hAnsi="Palatino Linotype"/>
          <w:sz w:val="22"/>
          <w:szCs w:val="22"/>
          <w:lang w:val="en-US"/>
        </w:rPr>
        <w:t>concludes.</w:t>
      </w:r>
    </w:p>
    <w:p w:rsidR="00367CD6" w:rsidRPr="00612443" w:rsidRDefault="00367CD6">
      <w:pPr>
        <w:ind w:firstLine="300"/>
        <w:rPr>
          <w:rFonts w:ascii="Palatino Linotype" w:hAnsi="Palatino Linotype"/>
          <w:sz w:val="22"/>
          <w:szCs w:val="22"/>
          <w:lang w:val="en-US"/>
        </w:rPr>
      </w:pPr>
    </w:p>
    <w:p w:rsidR="00D67271" w:rsidRPr="00612443" w:rsidRDefault="000D18E6" w:rsidP="0059679B">
      <w:pPr>
        <w:pStyle w:val="Ttulo2"/>
        <w:widowControl/>
        <w:numPr>
          <w:ilvl w:val="0"/>
          <w:numId w:val="1"/>
        </w:numPr>
        <w:spacing w:before="360"/>
        <w:rPr>
          <w:rFonts w:ascii="Palatino Linotype" w:hAnsi="Palatino Linotype"/>
          <w:szCs w:val="28"/>
          <w:lang w:val="en-US"/>
        </w:rPr>
      </w:pPr>
      <w:r w:rsidRPr="00612443">
        <w:rPr>
          <w:rFonts w:ascii="Palatino Linotype" w:hAnsi="Palatino Linotype"/>
          <w:szCs w:val="28"/>
          <w:lang w:val="en-US"/>
        </w:rPr>
        <w:t xml:space="preserve">Brief </w:t>
      </w:r>
      <w:r w:rsidR="00C83B2D" w:rsidRPr="00612443">
        <w:rPr>
          <w:rFonts w:ascii="Palatino Linotype" w:hAnsi="Palatino Linotype"/>
          <w:szCs w:val="28"/>
          <w:lang w:val="en-US"/>
        </w:rPr>
        <w:t xml:space="preserve">literature review and interventions </w:t>
      </w:r>
      <w:r w:rsidRPr="00612443">
        <w:rPr>
          <w:rFonts w:ascii="Palatino Linotype" w:hAnsi="Palatino Linotype"/>
          <w:szCs w:val="28"/>
          <w:lang w:val="en-US"/>
        </w:rPr>
        <w:t>in Chile</w:t>
      </w:r>
    </w:p>
    <w:p w:rsidR="00367CD6" w:rsidRPr="00612443" w:rsidRDefault="00367CD6" w:rsidP="00367CD6">
      <w:pPr>
        <w:ind w:left="360"/>
        <w:rPr>
          <w:rFonts w:ascii="Palatino Linotype" w:hAnsi="Palatino Linotype"/>
          <w:lang w:val="en-US"/>
        </w:rPr>
      </w:pPr>
    </w:p>
    <w:p w:rsidR="0058159B" w:rsidRPr="00612443" w:rsidRDefault="000D18E6" w:rsidP="00367CD6">
      <w:pPr>
        <w:spacing w:before="60"/>
        <w:ind w:firstLine="360"/>
        <w:rPr>
          <w:rFonts w:ascii="Palatino Linotype" w:hAnsi="Palatino Linotype"/>
          <w:sz w:val="22"/>
          <w:szCs w:val="22"/>
          <w:lang w:val="en-US"/>
        </w:rPr>
      </w:pPr>
      <w:r w:rsidRPr="00612443">
        <w:rPr>
          <w:rFonts w:ascii="Palatino Linotype" w:hAnsi="Palatino Linotype"/>
          <w:sz w:val="22"/>
          <w:szCs w:val="22"/>
          <w:lang w:val="en-US"/>
        </w:rPr>
        <w:t>Most of the empirical literature analyzing exchange rate interventions focus</w:t>
      </w:r>
      <w:r w:rsidR="00C83B2D" w:rsidRPr="00612443">
        <w:rPr>
          <w:rFonts w:ascii="Palatino Linotype" w:hAnsi="Palatino Linotype"/>
          <w:sz w:val="22"/>
          <w:szCs w:val="22"/>
          <w:lang w:val="en-US"/>
        </w:rPr>
        <w:t>es</w:t>
      </w:r>
      <w:r w:rsidRPr="00612443">
        <w:rPr>
          <w:rFonts w:ascii="Palatino Linotype" w:hAnsi="Palatino Linotype"/>
          <w:sz w:val="22"/>
          <w:szCs w:val="22"/>
          <w:lang w:val="en-US"/>
        </w:rPr>
        <w:t xml:space="preserve"> on the impact that these interventions may have on the exchange rate, its volatility or some measures of liquidity </w:t>
      </w:r>
      <w:r w:rsidR="00C83B2D" w:rsidRPr="00612443">
        <w:rPr>
          <w:rFonts w:ascii="Palatino Linotype" w:hAnsi="Palatino Linotype"/>
          <w:sz w:val="22"/>
          <w:szCs w:val="22"/>
          <w:lang w:val="en-US"/>
        </w:rPr>
        <w:t>(</w:t>
      </w:r>
      <w:r w:rsidRPr="00612443">
        <w:rPr>
          <w:rFonts w:ascii="Palatino Linotype" w:hAnsi="Palatino Linotype"/>
          <w:sz w:val="22"/>
          <w:szCs w:val="22"/>
          <w:lang w:val="en-US"/>
        </w:rPr>
        <w:t>see</w:t>
      </w:r>
      <w:r w:rsidR="00C83B2D" w:rsidRPr="00612443">
        <w:rPr>
          <w:rFonts w:ascii="Palatino Linotype" w:hAnsi="Palatino Linotype"/>
          <w:sz w:val="22"/>
          <w:szCs w:val="22"/>
          <w:lang w:val="en-US"/>
        </w:rPr>
        <w:t>,</w:t>
      </w:r>
      <w:r w:rsidRPr="00612443">
        <w:rPr>
          <w:rFonts w:ascii="Palatino Linotype" w:hAnsi="Palatino Linotype"/>
          <w:sz w:val="22"/>
          <w:szCs w:val="22"/>
          <w:lang w:val="en-US"/>
        </w:rPr>
        <w:t xml:space="preserve"> for instance</w:t>
      </w:r>
      <w:r w:rsidR="00C83B2D" w:rsidRPr="00612443">
        <w:rPr>
          <w:rFonts w:ascii="Palatino Linotype" w:hAnsi="Palatino Linotype"/>
          <w:sz w:val="22"/>
          <w:szCs w:val="22"/>
          <w:lang w:val="en-US"/>
        </w:rPr>
        <w:t>,</w:t>
      </w:r>
      <w:r w:rsidR="002F17B6" w:rsidRPr="00612443">
        <w:rPr>
          <w:rFonts w:ascii="Palatino Linotype" w:hAnsi="Palatino Linotype"/>
          <w:sz w:val="22"/>
          <w:szCs w:val="22"/>
          <w:lang w:val="en-US"/>
        </w:rPr>
        <w:t xml:space="preserve"> Sarno and Taylor (2001),</w:t>
      </w:r>
      <w:r w:rsidRPr="00612443">
        <w:rPr>
          <w:rFonts w:ascii="Palatino Linotype" w:hAnsi="Palatino Linotype"/>
          <w:sz w:val="22"/>
          <w:szCs w:val="22"/>
          <w:lang w:val="en-US"/>
        </w:rPr>
        <w:t xml:space="preserve"> Tapia and Tokman (2003) and Berganza and Broto (2012)</w:t>
      </w:r>
      <w:r w:rsidR="00C83B2D" w:rsidRPr="00612443">
        <w:rPr>
          <w:rFonts w:ascii="Palatino Linotype" w:hAnsi="Palatino Linotype"/>
          <w:sz w:val="22"/>
          <w:szCs w:val="22"/>
          <w:lang w:val="en-US"/>
        </w:rPr>
        <w:t>)</w:t>
      </w:r>
      <w:r w:rsidRPr="00612443">
        <w:rPr>
          <w:rFonts w:ascii="Palatino Linotype" w:hAnsi="Palatino Linotype"/>
          <w:sz w:val="22"/>
          <w:szCs w:val="22"/>
          <w:lang w:val="en-US"/>
        </w:rPr>
        <w:t xml:space="preserve">. Irrespective of the effectiveness of the intervention in achieving the preannounced goal, the intervention itself may induce some collateral effects on other variables in the economy. For instance, interventions may affect order flow, risk </w:t>
      </w:r>
      <w:r w:rsidRPr="00612443">
        <w:rPr>
          <w:rFonts w:ascii="Palatino Linotype" w:hAnsi="Palatino Linotype"/>
          <w:sz w:val="22"/>
          <w:szCs w:val="22"/>
          <w:lang w:val="en-US"/>
        </w:rPr>
        <w:lastRenderedPageBreak/>
        <w:t xml:space="preserve">premiums and expectations. Interestingly, even if the intervention fails to create a desired impact on a given variable, it may generate an undesired side effect on another variable. This is extremely relevant in inflation targeting countries because </w:t>
      </w:r>
      <w:r w:rsidR="00C83B2D" w:rsidRPr="00612443">
        <w:rPr>
          <w:rFonts w:ascii="Palatino Linotype" w:hAnsi="Palatino Linotype"/>
          <w:sz w:val="22"/>
          <w:szCs w:val="22"/>
          <w:lang w:val="en-US"/>
        </w:rPr>
        <w:t xml:space="preserve">an </w:t>
      </w:r>
      <w:r w:rsidRPr="00612443">
        <w:rPr>
          <w:rFonts w:ascii="Palatino Linotype" w:hAnsi="Palatino Linotype"/>
          <w:sz w:val="22"/>
          <w:szCs w:val="22"/>
          <w:lang w:val="en-US"/>
        </w:rPr>
        <w:t xml:space="preserve">exchange rate intervention </w:t>
      </w:r>
      <w:r w:rsidRPr="00612443">
        <w:rPr>
          <w:rFonts w:ascii="Palatino Linotype" w:hAnsi="Palatino Linotype"/>
          <w:i/>
          <w:sz w:val="22"/>
          <w:szCs w:val="22"/>
          <w:lang w:val="en-US"/>
        </w:rPr>
        <w:t>“...runs the risk of transforming the exchange rate into a nominal anchor for monetary policy that takes precedence over the inflation target, at least in the eyes of the public”</w:t>
      </w:r>
      <w:r w:rsidRPr="00612443">
        <w:rPr>
          <w:rFonts w:ascii="Palatino Linotype" w:hAnsi="Palatino Linotype"/>
          <w:sz w:val="22"/>
          <w:szCs w:val="22"/>
          <w:lang w:val="en-US"/>
        </w:rPr>
        <w:t xml:space="preserve"> </w:t>
      </w:r>
      <w:r w:rsidR="00C83B2D" w:rsidRPr="00612443">
        <w:rPr>
          <w:rFonts w:ascii="Palatino Linotype" w:hAnsi="Palatino Linotype"/>
          <w:sz w:val="22"/>
          <w:szCs w:val="22"/>
          <w:lang w:val="en-US"/>
        </w:rPr>
        <w:t>(</w:t>
      </w:r>
      <w:r w:rsidRPr="00612443">
        <w:rPr>
          <w:rFonts w:ascii="Palatino Linotype" w:hAnsi="Palatino Linotype"/>
          <w:sz w:val="22"/>
          <w:szCs w:val="22"/>
          <w:lang w:val="en-US"/>
        </w:rPr>
        <w:t>Mishkin (2000)</w:t>
      </w:r>
      <w:r w:rsidR="00C83B2D" w:rsidRPr="00612443">
        <w:rPr>
          <w:rFonts w:ascii="Palatino Linotype" w:hAnsi="Palatino Linotype"/>
          <w:sz w:val="22"/>
          <w:szCs w:val="22"/>
          <w:lang w:val="en-US"/>
        </w:rPr>
        <w:t>)</w:t>
      </w:r>
      <w:r w:rsidRPr="00612443">
        <w:rPr>
          <w:rFonts w:ascii="Palatino Linotype" w:hAnsi="Palatino Linotype"/>
          <w:sz w:val="22"/>
          <w:szCs w:val="22"/>
          <w:lang w:val="en-US"/>
        </w:rPr>
        <w:t>. An interesting analysis of interventions in an inflation targeting economy is found in Kamil (2008). He points out that policymakers in many emerging inflation targeting economies are attempting to resist currency appreciation while simultaneously trying to meet their inflation targets. Analyzing the case of Colombia, Kamil (2008) finds that exchange rate interventions were effective during the period 2004</w:t>
      </w:r>
      <w:r w:rsidR="00C83B2D" w:rsidRPr="00612443">
        <w:rPr>
          <w:rFonts w:ascii="Palatino Linotype" w:hAnsi="Palatino Linotype"/>
          <w:sz w:val="22"/>
          <w:szCs w:val="22"/>
          <w:lang w:val="en-US"/>
        </w:rPr>
        <w:t>–</w:t>
      </w:r>
      <w:r w:rsidRPr="00612443">
        <w:rPr>
          <w:rFonts w:ascii="Palatino Linotype" w:hAnsi="Palatino Linotype"/>
          <w:sz w:val="22"/>
          <w:szCs w:val="22"/>
          <w:lang w:val="en-US"/>
        </w:rPr>
        <w:t xml:space="preserve">2006, when foreign currency purchases were undertaken during a period of monetary easing. In 2007, however, he found that interventions were ineffective in slowing down the </w:t>
      </w:r>
      <w:r w:rsidR="00C83B2D" w:rsidRPr="00612443">
        <w:rPr>
          <w:rFonts w:ascii="Palatino Linotype" w:hAnsi="Palatino Linotype"/>
          <w:sz w:val="22"/>
          <w:szCs w:val="22"/>
          <w:lang w:val="en-US"/>
        </w:rPr>
        <w:t xml:space="preserve">appreciation of the </w:t>
      </w:r>
      <w:r w:rsidRPr="00612443">
        <w:rPr>
          <w:rFonts w:ascii="Palatino Linotype" w:hAnsi="Palatino Linotype"/>
          <w:sz w:val="22"/>
          <w:szCs w:val="22"/>
          <w:lang w:val="en-US"/>
        </w:rPr>
        <w:t xml:space="preserve">domestic currency, as large-scale interventions became incompatible with meeting the inflation target in an overheating economy. In a related article, </w:t>
      </w:r>
      <w:r w:rsidR="008561B0" w:rsidRPr="00612443">
        <w:rPr>
          <w:rFonts w:ascii="Palatino Linotype" w:hAnsi="Palatino Linotype"/>
          <w:sz w:val="22"/>
          <w:szCs w:val="22"/>
          <w:lang w:val="en-US"/>
        </w:rPr>
        <w:t xml:space="preserve">Ades, Buscaglia and Rumi </w:t>
      </w:r>
      <w:r w:rsidRPr="00612443">
        <w:rPr>
          <w:rFonts w:ascii="Palatino Linotype" w:hAnsi="Palatino Linotype"/>
          <w:sz w:val="22"/>
          <w:szCs w:val="22"/>
          <w:lang w:val="en-US"/>
        </w:rPr>
        <w:t>(2002) focus on the possibility that interventions may be considered excessive by the public. The point here is that</w:t>
      </w:r>
      <w:r w:rsidR="00C83B2D" w:rsidRPr="00612443">
        <w:rPr>
          <w:rFonts w:ascii="Palatino Linotype" w:hAnsi="Palatino Linotype"/>
          <w:sz w:val="22"/>
          <w:szCs w:val="22"/>
          <w:lang w:val="en-US"/>
        </w:rPr>
        <w:t>,</w:t>
      </w:r>
      <w:r w:rsidRPr="00612443">
        <w:rPr>
          <w:rFonts w:ascii="Palatino Linotype" w:hAnsi="Palatino Linotype"/>
          <w:sz w:val="22"/>
          <w:szCs w:val="22"/>
          <w:lang w:val="en-US"/>
        </w:rPr>
        <w:t xml:space="preserve"> if interventions are not clearly justified, they could threaten the inflation target as people may construct the belief that the implicit target of the central bank is different from the one explicitly announced. </w:t>
      </w:r>
    </w:p>
    <w:p w:rsidR="0058159B" w:rsidRPr="00612443" w:rsidRDefault="0058159B" w:rsidP="00367CD6">
      <w:pPr>
        <w:spacing w:before="60"/>
        <w:ind w:firstLine="360"/>
        <w:rPr>
          <w:rFonts w:ascii="Palatino Linotype" w:hAnsi="Palatino Linotype"/>
          <w:sz w:val="22"/>
          <w:szCs w:val="22"/>
          <w:lang w:val="en-US"/>
        </w:rPr>
      </w:pPr>
    </w:p>
    <w:p w:rsidR="00D67271" w:rsidRPr="00612443" w:rsidRDefault="000D18E6" w:rsidP="00367CD6">
      <w:pPr>
        <w:spacing w:before="60"/>
        <w:ind w:firstLine="360"/>
        <w:rPr>
          <w:rFonts w:ascii="Palatino Linotype" w:hAnsi="Palatino Linotype"/>
          <w:sz w:val="22"/>
          <w:szCs w:val="22"/>
          <w:lang w:val="en-US"/>
        </w:rPr>
      </w:pPr>
      <w:r w:rsidRPr="00612443">
        <w:rPr>
          <w:rFonts w:ascii="Palatino Linotype" w:hAnsi="Palatino Linotype"/>
          <w:sz w:val="22"/>
          <w:szCs w:val="22"/>
          <w:lang w:val="en-US"/>
        </w:rPr>
        <w:t xml:space="preserve">In the particular case of Chile, </w:t>
      </w:r>
      <w:r w:rsidR="00A77EFC" w:rsidRPr="00612443">
        <w:rPr>
          <w:rFonts w:ascii="Palatino Linotype" w:hAnsi="Palatino Linotype"/>
          <w:sz w:val="22"/>
          <w:szCs w:val="22"/>
          <w:lang w:val="en-US"/>
        </w:rPr>
        <w:t xml:space="preserve">Ades, Buscaglia and Rumi </w:t>
      </w:r>
      <w:r w:rsidRPr="00612443">
        <w:rPr>
          <w:rFonts w:ascii="Palatino Linotype" w:hAnsi="Palatino Linotype"/>
          <w:sz w:val="22"/>
          <w:szCs w:val="22"/>
          <w:lang w:val="en-US"/>
        </w:rPr>
        <w:t xml:space="preserve">(2002) find that interventions have not been excessive, as they were aimed </w:t>
      </w:r>
      <w:r w:rsidR="00483E63" w:rsidRPr="00612443">
        <w:rPr>
          <w:rFonts w:ascii="Palatino Linotype" w:hAnsi="Palatino Linotype"/>
          <w:sz w:val="22"/>
          <w:szCs w:val="22"/>
          <w:lang w:val="en-US"/>
        </w:rPr>
        <w:t>at</w:t>
      </w:r>
      <w:r w:rsidRPr="00612443">
        <w:rPr>
          <w:rFonts w:ascii="Palatino Linotype" w:hAnsi="Palatino Linotype"/>
          <w:sz w:val="22"/>
          <w:szCs w:val="22"/>
          <w:lang w:val="en-US"/>
        </w:rPr>
        <w:t xml:space="preserve"> prevent</w:t>
      </w:r>
      <w:r w:rsidR="00483E63" w:rsidRPr="00612443">
        <w:rPr>
          <w:rFonts w:ascii="Palatino Linotype" w:hAnsi="Palatino Linotype"/>
          <w:sz w:val="22"/>
          <w:szCs w:val="22"/>
          <w:lang w:val="en-US"/>
        </w:rPr>
        <w:t>ing</w:t>
      </w:r>
      <w:r w:rsidRPr="00612443">
        <w:rPr>
          <w:rFonts w:ascii="Palatino Linotype" w:hAnsi="Palatino Linotype"/>
          <w:sz w:val="22"/>
          <w:szCs w:val="22"/>
          <w:lang w:val="en-US"/>
        </w:rPr>
        <w:t xml:space="preserve"> deviations of the exchange rate from its long</w:t>
      </w:r>
      <w:r w:rsidR="00053DA1" w:rsidRPr="00612443">
        <w:rPr>
          <w:rFonts w:ascii="Palatino Linotype" w:hAnsi="Palatino Linotype"/>
          <w:sz w:val="22"/>
          <w:szCs w:val="22"/>
          <w:lang w:val="en-US"/>
        </w:rPr>
        <w:t>-</w:t>
      </w:r>
      <w:r w:rsidRPr="00612443">
        <w:rPr>
          <w:rFonts w:ascii="Palatino Linotype" w:hAnsi="Palatino Linotype"/>
          <w:sz w:val="22"/>
          <w:szCs w:val="22"/>
          <w:lang w:val="en-US"/>
        </w:rPr>
        <w:t xml:space="preserve">run equilibrium value, while in other countries, central banks seem to have intervened </w:t>
      </w:r>
      <w:r w:rsidR="00053DA1" w:rsidRPr="00612443">
        <w:rPr>
          <w:rFonts w:ascii="Palatino Linotype" w:hAnsi="Palatino Linotype"/>
          <w:sz w:val="22"/>
          <w:szCs w:val="22"/>
          <w:lang w:val="en-US"/>
        </w:rPr>
        <w:t>against</w:t>
      </w:r>
      <w:r w:rsidRPr="00612443">
        <w:rPr>
          <w:rFonts w:ascii="Palatino Linotype" w:hAnsi="Palatino Linotype"/>
          <w:sz w:val="22"/>
          <w:szCs w:val="22"/>
          <w:lang w:val="en-US"/>
        </w:rPr>
        <w:t xml:space="preserve"> any fluctuation of the exchange rate. </w:t>
      </w:r>
      <w:r w:rsidR="00053DA1" w:rsidRPr="00612443">
        <w:rPr>
          <w:rFonts w:ascii="Palatino Linotype" w:hAnsi="Palatino Linotype"/>
          <w:sz w:val="22"/>
          <w:szCs w:val="22"/>
          <w:lang w:val="en-US"/>
        </w:rPr>
        <w:t xml:space="preserve">Following </w:t>
      </w:r>
      <w:r w:rsidRPr="00612443">
        <w:rPr>
          <w:rFonts w:ascii="Palatino Linotype" w:hAnsi="Palatino Linotype"/>
          <w:sz w:val="22"/>
          <w:szCs w:val="22"/>
          <w:lang w:val="en-US"/>
        </w:rPr>
        <w:t>a similar line of th</w:t>
      </w:r>
      <w:r w:rsidR="00053DA1" w:rsidRPr="00612443">
        <w:rPr>
          <w:rFonts w:ascii="Palatino Linotype" w:hAnsi="Palatino Linotype"/>
          <w:sz w:val="22"/>
          <w:szCs w:val="22"/>
          <w:lang w:val="en-US"/>
        </w:rPr>
        <w:t>ought</w:t>
      </w:r>
      <w:r w:rsidRPr="00612443">
        <w:rPr>
          <w:rFonts w:ascii="Palatino Linotype" w:hAnsi="Palatino Linotype"/>
          <w:sz w:val="22"/>
          <w:szCs w:val="22"/>
          <w:lang w:val="en-US"/>
        </w:rPr>
        <w:t xml:space="preserve">, we will explore whether the amount of preannounced central bank interventions Granger-cause the distribution of inflation expectations </w:t>
      </w:r>
      <w:r w:rsidR="00483E63" w:rsidRPr="00612443">
        <w:rPr>
          <w:rFonts w:ascii="Palatino Linotype" w:hAnsi="Palatino Linotype"/>
          <w:sz w:val="22"/>
          <w:szCs w:val="22"/>
          <w:lang w:val="en-US"/>
        </w:rPr>
        <w:t xml:space="preserve">at long horizons </w:t>
      </w:r>
      <w:r w:rsidRPr="00612443">
        <w:rPr>
          <w:rFonts w:ascii="Palatino Linotype" w:hAnsi="Palatino Linotype"/>
          <w:sz w:val="22"/>
          <w:szCs w:val="22"/>
          <w:lang w:val="en-US"/>
        </w:rPr>
        <w:t xml:space="preserve">and therefore </w:t>
      </w:r>
      <w:r w:rsidR="00053DA1" w:rsidRPr="00612443">
        <w:rPr>
          <w:rFonts w:ascii="Palatino Linotype" w:hAnsi="Palatino Linotype"/>
          <w:sz w:val="22"/>
          <w:szCs w:val="22"/>
          <w:lang w:val="en-US"/>
        </w:rPr>
        <w:t xml:space="preserve">undermine </w:t>
      </w:r>
      <w:r w:rsidRPr="00612443">
        <w:rPr>
          <w:rFonts w:ascii="Palatino Linotype" w:hAnsi="Palatino Linotype"/>
          <w:sz w:val="22"/>
          <w:szCs w:val="22"/>
          <w:lang w:val="en-US"/>
        </w:rPr>
        <w:t xml:space="preserve">the inflationary target. Before moving to the empirical </w:t>
      </w:r>
      <w:r w:rsidR="00315934" w:rsidRPr="00612443">
        <w:rPr>
          <w:rFonts w:ascii="Palatino Linotype" w:hAnsi="Palatino Linotype"/>
          <w:sz w:val="22"/>
          <w:szCs w:val="22"/>
          <w:lang w:val="en-US"/>
        </w:rPr>
        <w:t>analysis</w:t>
      </w:r>
      <w:r w:rsidRPr="00612443">
        <w:rPr>
          <w:rFonts w:ascii="Palatino Linotype" w:hAnsi="Palatino Linotype"/>
          <w:sz w:val="22"/>
          <w:szCs w:val="22"/>
          <w:lang w:val="en-US"/>
        </w:rPr>
        <w:t>, in the next subsection we provide a brief description of the exchange rate interventions carried out by the Central Bank of Chile since 2000.</w:t>
      </w:r>
    </w:p>
    <w:p w:rsidR="00367CD6" w:rsidRPr="00612443" w:rsidRDefault="00367CD6" w:rsidP="00367CD6">
      <w:pPr>
        <w:spacing w:before="60"/>
        <w:ind w:firstLine="360"/>
        <w:rPr>
          <w:rFonts w:ascii="Palatino Linotype" w:hAnsi="Palatino Linotype"/>
          <w:sz w:val="22"/>
          <w:szCs w:val="22"/>
          <w:lang w:val="en-US"/>
        </w:rPr>
      </w:pPr>
    </w:p>
    <w:p w:rsidR="00D67271" w:rsidRPr="00612443" w:rsidRDefault="000D18E6" w:rsidP="00367CD6">
      <w:pPr>
        <w:pStyle w:val="Ttulo3"/>
        <w:widowControl/>
        <w:numPr>
          <w:ilvl w:val="1"/>
          <w:numId w:val="1"/>
        </w:numPr>
        <w:spacing w:before="120"/>
        <w:rPr>
          <w:rFonts w:ascii="Palatino Linotype" w:hAnsi="Palatino Linotype"/>
          <w:sz w:val="22"/>
          <w:szCs w:val="22"/>
          <w:lang w:val="en-US"/>
        </w:rPr>
      </w:pPr>
      <w:r w:rsidRPr="00612443">
        <w:rPr>
          <w:rFonts w:ascii="Palatino Linotype" w:hAnsi="Palatino Linotype"/>
          <w:sz w:val="22"/>
          <w:szCs w:val="22"/>
          <w:lang w:val="en-US"/>
        </w:rPr>
        <w:t>Interventions in Chile</w:t>
      </w:r>
    </w:p>
    <w:p w:rsidR="00367CD6" w:rsidRPr="00612443" w:rsidRDefault="00367CD6" w:rsidP="00367CD6">
      <w:pPr>
        <w:pStyle w:val="Prrafodelista"/>
        <w:ind w:left="825"/>
        <w:rPr>
          <w:rFonts w:ascii="Palatino Linotype" w:hAnsi="Palatino Linotype"/>
          <w:lang w:val="en-US"/>
        </w:rPr>
      </w:pPr>
    </w:p>
    <w:p w:rsidR="00D67271" w:rsidRPr="00612443" w:rsidRDefault="000D18E6" w:rsidP="00367CD6">
      <w:pPr>
        <w:spacing w:before="60"/>
        <w:ind w:firstLine="300"/>
        <w:rPr>
          <w:rFonts w:ascii="Palatino Linotype" w:hAnsi="Palatino Linotype"/>
          <w:sz w:val="22"/>
          <w:szCs w:val="22"/>
          <w:lang w:val="en-US"/>
        </w:rPr>
      </w:pPr>
      <w:r w:rsidRPr="00612443">
        <w:rPr>
          <w:rFonts w:ascii="Palatino Linotype" w:hAnsi="Palatino Linotype"/>
          <w:sz w:val="22"/>
          <w:szCs w:val="22"/>
          <w:lang w:val="en-US"/>
        </w:rPr>
        <w:t xml:space="preserve">The inflation targeting regime in Chile was adopted in 1990 in a gradual way because, as Schmidt-Hebbel and Werner (2002) point out, the </w:t>
      </w:r>
      <w:r w:rsidR="00053DA1" w:rsidRPr="00612443">
        <w:rPr>
          <w:rFonts w:ascii="Palatino Linotype" w:hAnsi="Palatino Linotype"/>
          <w:sz w:val="22"/>
          <w:szCs w:val="22"/>
          <w:lang w:val="en-US"/>
        </w:rPr>
        <w:t>c</w:t>
      </w:r>
      <w:r w:rsidRPr="00612443">
        <w:rPr>
          <w:rFonts w:ascii="Palatino Linotype" w:hAnsi="Palatino Linotype"/>
          <w:sz w:val="22"/>
          <w:szCs w:val="22"/>
          <w:lang w:val="en-US"/>
        </w:rPr>
        <w:t xml:space="preserve">entral </w:t>
      </w:r>
      <w:r w:rsidR="00053DA1" w:rsidRPr="00612443">
        <w:rPr>
          <w:rFonts w:ascii="Palatino Linotype" w:hAnsi="Palatino Linotype"/>
          <w:sz w:val="22"/>
          <w:szCs w:val="22"/>
          <w:lang w:val="en-US"/>
        </w:rPr>
        <w:t>b</w:t>
      </w:r>
      <w:r w:rsidRPr="00612443">
        <w:rPr>
          <w:rFonts w:ascii="Palatino Linotype" w:hAnsi="Palatino Linotype"/>
          <w:sz w:val="22"/>
          <w:szCs w:val="22"/>
          <w:lang w:val="en-US"/>
        </w:rPr>
        <w:t>ank also pursued an exchange rate target between 1984 and 1999, although the inflation target was dominant in Chile’s dual nominal anchor system.</w:t>
      </w:r>
    </w:p>
    <w:p w:rsidR="00367CD6" w:rsidRPr="00612443" w:rsidRDefault="00367CD6">
      <w:pPr>
        <w:ind w:firstLine="300"/>
        <w:rPr>
          <w:rFonts w:ascii="Palatino Linotype" w:hAnsi="Palatino Linotype"/>
          <w:sz w:val="22"/>
          <w:szCs w:val="22"/>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In 1999 this scheme was tightened up, when Chile adopt</w:t>
      </w:r>
      <w:r w:rsidR="00053DA1" w:rsidRPr="00612443">
        <w:rPr>
          <w:rFonts w:ascii="Palatino Linotype" w:hAnsi="Palatino Linotype"/>
          <w:sz w:val="22"/>
          <w:szCs w:val="22"/>
          <w:lang w:val="en-US"/>
        </w:rPr>
        <w:t>ed</w:t>
      </w:r>
      <w:r w:rsidRPr="00612443">
        <w:rPr>
          <w:rFonts w:ascii="Palatino Linotype" w:hAnsi="Palatino Linotype"/>
          <w:sz w:val="22"/>
          <w:szCs w:val="22"/>
          <w:lang w:val="en-US"/>
        </w:rPr>
        <w:t xml:space="preserve"> a floating regime for the exchange rate. In this new scenario, the </w:t>
      </w:r>
      <w:r w:rsidR="00053DA1" w:rsidRPr="00612443">
        <w:rPr>
          <w:rFonts w:ascii="Palatino Linotype" w:hAnsi="Palatino Linotype"/>
          <w:sz w:val="22"/>
          <w:szCs w:val="22"/>
          <w:lang w:val="en-US"/>
        </w:rPr>
        <w:t>c</w:t>
      </w:r>
      <w:r w:rsidRPr="00612443">
        <w:rPr>
          <w:rFonts w:ascii="Palatino Linotype" w:hAnsi="Palatino Linotype"/>
          <w:sz w:val="22"/>
          <w:szCs w:val="22"/>
          <w:lang w:val="en-US"/>
        </w:rPr>
        <w:t xml:space="preserve">entral </w:t>
      </w:r>
      <w:r w:rsidR="00053DA1" w:rsidRPr="00612443">
        <w:rPr>
          <w:rFonts w:ascii="Palatino Linotype" w:hAnsi="Palatino Linotype"/>
          <w:sz w:val="22"/>
          <w:szCs w:val="22"/>
          <w:lang w:val="en-US"/>
        </w:rPr>
        <w:t>b</w:t>
      </w:r>
      <w:r w:rsidRPr="00612443">
        <w:rPr>
          <w:rFonts w:ascii="Palatino Linotype" w:hAnsi="Palatino Linotype"/>
          <w:sz w:val="22"/>
          <w:szCs w:val="22"/>
          <w:lang w:val="en-US"/>
        </w:rPr>
        <w:t xml:space="preserve">ank reserved the right to intervene </w:t>
      </w:r>
      <w:r w:rsidR="00053DA1" w:rsidRPr="00612443">
        <w:rPr>
          <w:rFonts w:ascii="Palatino Linotype" w:hAnsi="Palatino Linotype"/>
          <w:sz w:val="22"/>
          <w:szCs w:val="22"/>
          <w:lang w:val="en-US"/>
        </w:rPr>
        <w:t xml:space="preserve">in </w:t>
      </w:r>
      <w:r w:rsidRPr="00612443">
        <w:rPr>
          <w:rFonts w:ascii="Palatino Linotype" w:hAnsi="Palatino Linotype"/>
          <w:sz w:val="22"/>
          <w:szCs w:val="22"/>
          <w:lang w:val="en-US"/>
        </w:rPr>
        <w:t xml:space="preserve">the foreign exchange market in exceptional circumstances </w:t>
      </w:r>
      <w:r w:rsidR="00053DA1" w:rsidRPr="00612443">
        <w:rPr>
          <w:rFonts w:ascii="Palatino Linotype" w:hAnsi="Palatino Linotype"/>
          <w:sz w:val="22"/>
          <w:szCs w:val="22"/>
          <w:lang w:val="en-US"/>
        </w:rPr>
        <w:t xml:space="preserve">such as </w:t>
      </w:r>
      <w:r w:rsidRPr="00612443">
        <w:rPr>
          <w:rFonts w:ascii="Palatino Linotype" w:hAnsi="Palatino Linotype"/>
          <w:sz w:val="22"/>
          <w:szCs w:val="22"/>
          <w:lang w:val="en-US"/>
        </w:rPr>
        <w:t>excessive depreciation</w:t>
      </w:r>
      <w:r w:rsidR="00D174C9" w:rsidRPr="00612443">
        <w:rPr>
          <w:rFonts w:ascii="Palatino Linotype" w:hAnsi="Palatino Linotype"/>
          <w:sz w:val="22"/>
          <w:szCs w:val="22"/>
          <w:lang w:val="en-US"/>
        </w:rPr>
        <w:t>s</w:t>
      </w:r>
      <w:r w:rsidRPr="00612443">
        <w:rPr>
          <w:rFonts w:ascii="Palatino Linotype" w:hAnsi="Palatino Linotype"/>
          <w:sz w:val="22"/>
          <w:szCs w:val="22"/>
          <w:lang w:val="en-US"/>
        </w:rPr>
        <w:t xml:space="preserve"> or </w:t>
      </w:r>
      <w:r w:rsidRPr="00612443">
        <w:rPr>
          <w:rFonts w:ascii="Palatino Linotype" w:hAnsi="Palatino Linotype"/>
          <w:sz w:val="22"/>
          <w:szCs w:val="22"/>
          <w:lang w:val="en-US"/>
        </w:rPr>
        <w:lastRenderedPageBreak/>
        <w:t>appreciation</w:t>
      </w:r>
      <w:r w:rsidR="00D174C9" w:rsidRPr="00612443">
        <w:rPr>
          <w:rFonts w:ascii="Palatino Linotype" w:hAnsi="Palatino Linotype"/>
          <w:sz w:val="22"/>
          <w:szCs w:val="22"/>
          <w:lang w:val="en-US"/>
        </w:rPr>
        <w:t>s</w:t>
      </w:r>
      <w:r w:rsidRPr="00612443">
        <w:rPr>
          <w:rFonts w:ascii="Palatino Linotype" w:hAnsi="Palatino Linotype"/>
          <w:sz w:val="22"/>
          <w:szCs w:val="22"/>
          <w:lang w:val="en-US"/>
        </w:rPr>
        <w:t xml:space="preserve"> of the local currency </w:t>
      </w:r>
      <w:r w:rsidR="00D174C9" w:rsidRPr="00612443">
        <w:rPr>
          <w:rFonts w:ascii="Palatino Linotype" w:hAnsi="Palatino Linotype"/>
          <w:sz w:val="22"/>
          <w:szCs w:val="22"/>
          <w:lang w:val="en-US"/>
        </w:rPr>
        <w:t xml:space="preserve">that </w:t>
      </w:r>
      <w:r w:rsidRPr="00612443">
        <w:rPr>
          <w:rFonts w:ascii="Palatino Linotype" w:hAnsi="Palatino Linotype"/>
          <w:sz w:val="22"/>
          <w:szCs w:val="22"/>
          <w:lang w:val="en-US"/>
        </w:rPr>
        <w:t>could have potentially negative effects for the economy.</w:t>
      </w:r>
      <w:r w:rsidRPr="00612443">
        <w:rPr>
          <w:rStyle w:val="Refdenotaalpie"/>
          <w:rFonts w:ascii="Palatino Linotype" w:hAnsi="Palatino Linotype"/>
          <w:sz w:val="22"/>
          <w:szCs w:val="22"/>
          <w:lang w:val="en-US"/>
        </w:rPr>
        <w:footnoteReference w:id="6"/>
      </w:r>
    </w:p>
    <w:p w:rsidR="00367CD6" w:rsidRPr="00612443" w:rsidRDefault="00367CD6">
      <w:pPr>
        <w:ind w:firstLine="300"/>
        <w:rPr>
          <w:rFonts w:ascii="Palatino Linotype" w:hAnsi="Palatino Linotype"/>
          <w:sz w:val="22"/>
          <w:szCs w:val="22"/>
          <w:lang w:val="en-US"/>
        </w:rPr>
      </w:pPr>
    </w:p>
    <w:p w:rsidR="00483E63" w:rsidRPr="00612443" w:rsidRDefault="00483E63" w:rsidP="00483E63">
      <w:pPr>
        <w:spacing w:before="60"/>
        <w:ind w:firstLine="300"/>
        <w:rPr>
          <w:rFonts w:ascii="Palatino Linotype" w:hAnsi="Palatino Linotype"/>
          <w:sz w:val="22"/>
          <w:szCs w:val="22"/>
          <w:lang w:val="en-US"/>
        </w:rPr>
      </w:pPr>
      <w:r w:rsidRPr="00612443">
        <w:rPr>
          <w:rFonts w:ascii="Palatino Linotype" w:hAnsi="Palatino Linotype"/>
          <w:sz w:val="22"/>
          <w:szCs w:val="22"/>
          <w:lang w:val="en-US"/>
        </w:rPr>
        <w:t xml:space="preserve">Since 2000, the Central Bank of Chile </w:t>
      </w:r>
      <w:r w:rsidR="00053DA1" w:rsidRPr="00612443">
        <w:rPr>
          <w:rFonts w:ascii="Palatino Linotype" w:hAnsi="Palatino Linotype"/>
          <w:sz w:val="22"/>
          <w:szCs w:val="22"/>
          <w:lang w:val="en-US"/>
        </w:rPr>
        <w:t xml:space="preserve">has </w:t>
      </w:r>
      <w:r w:rsidRPr="00612443">
        <w:rPr>
          <w:rFonts w:ascii="Palatino Linotype" w:hAnsi="Palatino Linotype"/>
          <w:sz w:val="22"/>
          <w:szCs w:val="22"/>
          <w:lang w:val="en-US"/>
        </w:rPr>
        <w:t xml:space="preserve">carried out </w:t>
      </w:r>
      <w:r w:rsidR="00053DA1" w:rsidRPr="00612443">
        <w:rPr>
          <w:rFonts w:ascii="Palatino Linotype" w:hAnsi="Palatino Linotype"/>
          <w:sz w:val="22"/>
          <w:szCs w:val="22"/>
          <w:lang w:val="en-US"/>
        </w:rPr>
        <w:t>four</w:t>
      </w:r>
      <w:r w:rsidRPr="00612443">
        <w:rPr>
          <w:rFonts w:ascii="Palatino Linotype" w:hAnsi="Palatino Linotype"/>
          <w:sz w:val="22"/>
          <w:szCs w:val="22"/>
          <w:lang w:val="en-US"/>
        </w:rPr>
        <w:t xml:space="preserve"> intervention programs in the exchange rate market. The first two interventions took place in 2001 and 2002 and shared several common features. First, these two interventions were preannounced by a public press release. Second, they were justified on the grounds of a perceived </w:t>
      </w:r>
      <w:r w:rsidR="00053DA1" w:rsidRPr="00612443">
        <w:rPr>
          <w:rFonts w:ascii="Palatino Linotype" w:hAnsi="Palatino Linotype"/>
          <w:sz w:val="22"/>
          <w:szCs w:val="22"/>
          <w:lang w:val="en-US"/>
        </w:rPr>
        <w:t xml:space="preserve">market </w:t>
      </w:r>
      <w:r w:rsidRPr="00612443">
        <w:rPr>
          <w:rFonts w:ascii="Palatino Linotype" w:hAnsi="Palatino Linotype"/>
          <w:sz w:val="22"/>
          <w:szCs w:val="22"/>
          <w:lang w:val="en-US"/>
        </w:rPr>
        <w:t>overreaction to worsening international conditions. Third, they were implemented in the context of an important depreciation of the domestic currency against the American dollar. Fourth, both interventions were characterized by a mix</w:t>
      </w:r>
      <w:r w:rsidR="00053DA1" w:rsidRPr="00612443">
        <w:rPr>
          <w:rFonts w:ascii="Palatino Linotype" w:hAnsi="Palatino Linotype"/>
          <w:sz w:val="22"/>
          <w:szCs w:val="22"/>
          <w:lang w:val="en-US"/>
        </w:rPr>
        <w:t>ture</w:t>
      </w:r>
      <w:r w:rsidRPr="00612443">
        <w:rPr>
          <w:rFonts w:ascii="Palatino Linotype" w:hAnsi="Palatino Linotype"/>
          <w:sz w:val="22"/>
          <w:szCs w:val="22"/>
          <w:lang w:val="en-US"/>
        </w:rPr>
        <w:t xml:space="preserve"> of two measures: An increase in the supply of Indexed Bonds in Dollars by an amount that could not exceed US$2,000 million and the announcement that a total amount of US$2,000 million in reserves could potentially be used in direct sales to the market in the upcoming four months. No specific schedule was </w:t>
      </w:r>
      <w:r w:rsidR="00551E18" w:rsidRPr="00612443">
        <w:rPr>
          <w:rFonts w:ascii="Palatino Linotype" w:hAnsi="Palatino Linotype"/>
          <w:sz w:val="22"/>
          <w:szCs w:val="22"/>
          <w:lang w:val="en-US"/>
        </w:rPr>
        <w:t xml:space="preserve">established </w:t>
      </w:r>
      <w:r w:rsidRPr="00612443">
        <w:rPr>
          <w:rFonts w:ascii="Palatino Linotype" w:hAnsi="Palatino Linotype"/>
          <w:sz w:val="22"/>
          <w:szCs w:val="22"/>
          <w:lang w:val="en-US"/>
        </w:rPr>
        <w:t xml:space="preserve">for </w:t>
      </w:r>
      <w:r w:rsidR="00551E18" w:rsidRPr="00612443">
        <w:rPr>
          <w:rFonts w:ascii="Palatino Linotype" w:hAnsi="Palatino Linotype"/>
          <w:sz w:val="22"/>
          <w:szCs w:val="22"/>
          <w:lang w:val="en-US"/>
        </w:rPr>
        <w:t xml:space="preserve">either </w:t>
      </w:r>
      <w:r w:rsidRPr="00612443">
        <w:rPr>
          <w:rFonts w:ascii="Palatino Linotype" w:hAnsi="Palatino Linotype"/>
          <w:sz w:val="22"/>
          <w:szCs w:val="22"/>
          <w:lang w:val="en-US"/>
        </w:rPr>
        <w:t>of these two operations. Interestingly, the actual amount of direct sales of dollars during the 2002 intervention was exactly zero</w:t>
      </w:r>
      <w:r w:rsidR="000D5990" w:rsidRPr="00612443">
        <w:rPr>
          <w:rStyle w:val="Refdenotaalpie"/>
          <w:rFonts w:ascii="Palatino Linotype" w:hAnsi="Palatino Linotype"/>
          <w:sz w:val="22"/>
          <w:szCs w:val="22"/>
          <w:lang w:val="en-US"/>
        </w:rPr>
        <w:footnoteReference w:id="7"/>
      </w:r>
      <w:r w:rsidRPr="00612443">
        <w:rPr>
          <w:rFonts w:ascii="Palatino Linotype" w:hAnsi="Palatino Linotype"/>
          <w:sz w:val="22"/>
          <w:szCs w:val="22"/>
          <w:lang w:val="en-US"/>
        </w:rPr>
        <w:t>.</w:t>
      </w:r>
    </w:p>
    <w:p w:rsidR="00367CD6" w:rsidRPr="00612443" w:rsidRDefault="00367CD6">
      <w:pPr>
        <w:ind w:firstLine="300"/>
        <w:rPr>
          <w:rFonts w:ascii="Palatino Linotype" w:hAnsi="Palatino Linotype"/>
          <w:sz w:val="22"/>
          <w:szCs w:val="22"/>
          <w:lang w:val="en-US"/>
        </w:rPr>
      </w:pPr>
    </w:p>
    <w:p w:rsidR="00D67271" w:rsidRPr="00612443" w:rsidRDefault="005C4149">
      <w:pPr>
        <w:ind w:firstLine="300"/>
        <w:rPr>
          <w:rFonts w:ascii="Palatino Linotype" w:hAnsi="Palatino Linotype"/>
          <w:sz w:val="22"/>
          <w:szCs w:val="22"/>
          <w:lang w:val="en-US"/>
        </w:rPr>
      </w:pPr>
      <w:r>
        <w:rPr>
          <w:rFonts w:ascii="Palatino Linotype" w:hAnsi="Palatino Linotype"/>
          <w:sz w:val="22"/>
          <w:szCs w:val="22"/>
          <w:lang w:val="en-US"/>
        </w:rPr>
        <w:t>The intervention programs</w:t>
      </w:r>
      <w:r w:rsidR="00483E63" w:rsidRPr="00612443">
        <w:rPr>
          <w:rFonts w:ascii="Palatino Linotype" w:hAnsi="Palatino Linotype"/>
          <w:sz w:val="22"/>
          <w:szCs w:val="22"/>
          <w:lang w:val="en-US"/>
        </w:rPr>
        <w:t xml:space="preserve"> of 2008 and 2011 were </w:t>
      </w:r>
      <w:r>
        <w:rPr>
          <w:rFonts w:ascii="Palatino Linotype" w:hAnsi="Palatino Linotype"/>
          <w:sz w:val="22"/>
          <w:szCs w:val="22"/>
          <w:lang w:val="en-US"/>
        </w:rPr>
        <w:t>implemented</w:t>
      </w:r>
      <w:r w:rsidR="00483E63" w:rsidRPr="00612443">
        <w:rPr>
          <w:rFonts w:ascii="Palatino Linotype" w:hAnsi="Palatino Linotype"/>
          <w:sz w:val="22"/>
          <w:szCs w:val="22"/>
          <w:lang w:val="en-US"/>
        </w:rPr>
        <w:t xml:space="preserve"> in a very different way. Even though they were also announced in advance, they were justified on the grounds of the benefit that an accumulation of international reserves could bring to the country in circumstances of international financial turmoil. These two interventions were carried out in a context of an appreciating domestic currency and were implemented via direct purchases of dollars only. In particular, in April 2008, the </w:t>
      </w:r>
      <w:r w:rsidR="00551E18" w:rsidRPr="00612443">
        <w:rPr>
          <w:rFonts w:ascii="Palatino Linotype" w:hAnsi="Palatino Linotype"/>
          <w:sz w:val="22"/>
          <w:szCs w:val="22"/>
          <w:lang w:val="en-US"/>
        </w:rPr>
        <w:t>c</w:t>
      </w:r>
      <w:r w:rsidR="00483E63" w:rsidRPr="00612443">
        <w:rPr>
          <w:rFonts w:ascii="Palatino Linotype" w:hAnsi="Palatino Linotype"/>
          <w:sz w:val="22"/>
          <w:szCs w:val="22"/>
          <w:lang w:val="en-US"/>
        </w:rPr>
        <w:t xml:space="preserve">entral </w:t>
      </w:r>
      <w:r w:rsidR="00551E18" w:rsidRPr="00612443">
        <w:rPr>
          <w:rFonts w:ascii="Palatino Linotype" w:hAnsi="Palatino Linotype"/>
          <w:sz w:val="22"/>
          <w:szCs w:val="22"/>
          <w:lang w:val="en-US"/>
        </w:rPr>
        <w:t>b</w:t>
      </w:r>
      <w:r w:rsidR="00483E63" w:rsidRPr="00612443">
        <w:rPr>
          <w:rFonts w:ascii="Palatino Linotype" w:hAnsi="Palatino Linotype"/>
          <w:sz w:val="22"/>
          <w:szCs w:val="22"/>
          <w:lang w:val="en-US"/>
        </w:rPr>
        <w:t xml:space="preserve">ank argued that an increase in the level of international reserves would be useful </w:t>
      </w:r>
      <w:r w:rsidR="00551E18" w:rsidRPr="00612443">
        <w:rPr>
          <w:rFonts w:ascii="Palatino Linotype" w:hAnsi="Palatino Linotype"/>
          <w:sz w:val="22"/>
          <w:szCs w:val="22"/>
          <w:lang w:val="en-US"/>
        </w:rPr>
        <w:t xml:space="preserve">in order to counter deteriorating </w:t>
      </w:r>
      <w:r w:rsidR="00483E63" w:rsidRPr="00612443">
        <w:rPr>
          <w:rFonts w:ascii="Palatino Linotype" w:hAnsi="Palatino Linotype"/>
          <w:sz w:val="22"/>
          <w:szCs w:val="22"/>
          <w:lang w:val="en-US"/>
        </w:rPr>
        <w:t xml:space="preserve">international conditions. </w:t>
      </w:r>
      <w:r>
        <w:rPr>
          <w:rFonts w:ascii="Palatino Linotype" w:hAnsi="Palatino Linotype"/>
          <w:sz w:val="22"/>
          <w:szCs w:val="22"/>
          <w:lang w:val="en-US"/>
        </w:rPr>
        <w:t>I</w:t>
      </w:r>
      <w:r w:rsidR="00483E63" w:rsidRPr="00612443">
        <w:rPr>
          <w:rFonts w:ascii="Palatino Linotype" w:hAnsi="Palatino Linotype"/>
          <w:sz w:val="22"/>
          <w:szCs w:val="22"/>
          <w:lang w:val="en-US"/>
        </w:rPr>
        <w:t xml:space="preserve">n that occasion, the exact mechanism adopted was to increase the level of international reserves by the amount of US$8,000 million through daily dollar purchases of US$50 million that would span the period from Monday, April 14 to December 12, 2008. Similarly, in January 2011, the </w:t>
      </w:r>
      <w:r w:rsidR="00551E18" w:rsidRPr="00612443">
        <w:rPr>
          <w:rFonts w:ascii="Palatino Linotype" w:hAnsi="Palatino Linotype"/>
          <w:sz w:val="22"/>
          <w:szCs w:val="22"/>
          <w:lang w:val="en-US"/>
        </w:rPr>
        <w:t>c</w:t>
      </w:r>
      <w:r w:rsidR="00483E63" w:rsidRPr="00612443">
        <w:rPr>
          <w:rFonts w:ascii="Palatino Linotype" w:hAnsi="Palatino Linotype"/>
          <w:sz w:val="22"/>
          <w:szCs w:val="22"/>
          <w:lang w:val="en-US"/>
        </w:rPr>
        <w:t xml:space="preserve">entral </w:t>
      </w:r>
      <w:r w:rsidR="00551E18" w:rsidRPr="00612443">
        <w:rPr>
          <w:rFonts w:ascii="Palatino Linotype" w:hAnsi="Palatino Linotype"/>
          <w:sz w:val="22"/>
          <w:szCs w:val="22"/>
          <w:lang w:val="en-US"/>
        </w:rPr>
        <w:t>b</w:t>
      </w:r>
      <w:r w:rsidR="00483E63" w:rsidRPr="00612443">
        <w:rPr>
          <w:rFonts w:ascii="Palatino Linotype" w:hAnsi="Palatino Linotype"/>
          <w:sz w:val="22"/>
          <w:szCs w:val="22"/>
          <w:lang w:val="en-US"/>
        </w:rPr>
        <w:t xml:space="preserve">ank announced another program of accumulation of reserves with the same basic objective of being better prepared to face the event of a significant deterioration in the external environment. The basic plan was to acquire a total of US$12,000 million during the year 2011 by daily dollar purchases of US$50 million from January </w:t>
      </w:r>
      <w:r w:rsidR="002F17B6" w:rsidRPr="00612443">
        <w:rPr>
          <w:rFonts w:ascii="Palatino Linotype" w:hAnsi="Palatino Linotype"/>
          <w:sz w:val="22"/>
          <w:szCs w:val="22"/>
          <w:lang w:val="en-US"/>
        </w:rPr>
        <w:t xml:space="preserve">5 </w:t>
      </w:r>
      <w:r w:rsidR="00483E63" w:rsidRPr="00612443">
        <w:rPr>
          <w:rFonts w:ascii="Palatino Linotype" w:hAnsi="Palatino Linotype"/>
          <w:sz w:val="22"/>
          <w:szCs w:val="22"/>
          <w:lang w:val="en-US"/>
        </w:rPr>
        <w:t xml:space="preserve">to December </w:t>
      </w:r>
      <w:r w:rsidR="000A40A1" w:rsidRPr="00612443">
        <w:rPr>
          <w:rFonts w:ascii="Palatino Linotype" w:hAnsi="Palatino Linotype"/>
          <w:sz w:val="22"/>
          <w:szCs w:val="22"/>
          <w:lang w:val="en-US"/>
        </w:rPr>
        <w:t xml:space="preserve">16 </w:t>
      </w:r>
      <w:r w:rsidR="00483E63" w:rsidRPr="00612443">
        <w:rPr>
          <w:rFonts w:ascii="Palatino Linotype" w:hAnsi="Palatino Linotype"/>
          <w:sz w:val="22"/>
          <w:szCs w:val="22"/>
          <w:lang w:val="en-US"/>
        </w:rPr>
        <w:t xml:space="preserve">2011. While the last intervention in 2011 was carried out as planned, the intervention in 2008 was </w:t>
      </w:r>
      <w:r w:rsidR="002F3DB1" w:rsidRPr="00612443">
        <w:rPr>
          <w:rFonts w:ascii="Palatino Linotype" w:hAnsi="Palatino Linotype"/>
          <w:sz w:val="22"/>
          <w:szCs w:val="22"/>
          <w:lang w:val="en-US"/>
        </w:rPr>
        <w:t xml:space="preserve">abruptly </w:t>
      </w:r>
      <w:r w:rsidR="00483E63" w:rsidRPr="00612443">
        <w:rPr>
          <w:rFonts w:ascii="Palatino Linotype" w:hAnsi="Palatino Linotype"/>
          <w:sz w:val="22"/>
          <w:szCs w:val="22"/>
          <w:lang w:val="en-US"/>
        </w:rPr>
        <w:t xml:space="preserve">stopped </w:t>
      </w:r>
      <w:r w:rsidR="00551E18" w:rsidRPr="00612443">
        <w:rPr>
          <w:rFonts w:ascii="Palatino Linotype" w:hAnsi="Palatino Linotype"/>
          <w:sz w:val="22"/>
          <w:szCs w:val="22"/>
          <w:lang w:val="en-US"/>
        </w:rPr>
        <w:t>o</w:t>
      </w:r>
      <w:r w:rsidR="00483E63" w:rsidRPr="00612443">
        <w:rPr>
          <w:rFonts w:ascii="Palatino Linotype" w:hAnsi="Palatino Linotype"/>
          <w:sz w:val="22"/>
          <w:szCs w:val="22"/>
          <w:lang w:val="en-US"/>
        </w:rPr>
        <w:t>n September 29 2008, when only 71.88% of the preannounced accumulation of reserves was actually acquired</w:t>
      </w:r>
      <w:r w:rsidR="00551E18" w:rsidRPr="00612443">
        <w:rPr>
          <w:rFonts w:ascii="Palatino Linotype" w:hAnsi="Palatino Linotype"/>
          <w:sz w:val="22"/>
          <w:szCs w:val="22"/>
          <w:lang w:val="en-US"/>
        </w:rPr>
        <w:t>.</w:t>
      </w:r>
      <w:r w:rsidR="000D18E6" w:rsidRPr="00612443">
        <w:rPr>
          <w:rStyle w:val="Refdenotaalpie"/>
          <w:rFonts w:ascii="Palatino Linotype" w:hAnsi="Palatino Linotype"/>
          <w:sz w:val="22"/>
          <w:szCs w:val="22"/>
          <w:lang w:val="en-US"/>
        </w:rPr>
        <w:footnoteReference w:id="8"/>
      </w:r>
      <w:r w:rsidR="002F3DB1" w:rsidRPr="00612443">
        <w:rPr>
          <w:rFonts w:ascii="Palatino Linotype" w:hAnsi="Palatino Linotype"/>
          <w:sz w:val="22"/>
          <w:szCs w:val="22"/>
          <w:lang w:val="en-US"/>
        </w:rPr>
        <w:t xml:space="preserve"> After this announcement</w:t>
      </w:r>
      <w:r w:rsidR="00551E18" w:rsidRPr="00612443">
        <w:rPr>
          <w:rFonts w:ascii="Palatino Linotype" w:hAnsi="Palatino Linotype"/>
          <w:sz w:val="22"/>
          <w:szCs w:val="22"/>
          <w:lang w:val="en-US"/>
        </w:rPr>
        <w:t>,</w:t>
      </w:r>
      <w:r w:rsidR="002F3DB1" w:rsidRPr="00612443">
        <w:rPr>
          <w:rFonts w:ascii="Palatino Linotype" w:hAnsi="Palatino Linotype"/>
          <w:sz w:val="22"/>
          <w:szCs w:val="22"/>
          <w:lang w:val="en-US"/>
        </w:rPr>
        <w:t xml:space="preserve"> no further purchases of dollars were carried out. The </w:t>
      </w:r>
      <w:r w:rsidR="00551E18" w:rsidRPr="00612443">
        <w:rPr>
          <w:rFonts w:ascii="Palatino Linotype" w:hAnsi="Palatino Linotype"/>
          <w:sz w:val="22"/>
          <w:szCs w:val="22"/>
          <w:lang w:val="en-US"/>
        </w:rPr>
        <w:t>c</w:t>
      </w:r>
      <w:r w:rsidR="002F3DB1" w:rsidRPr="00612443">
        <w:rPr>
          <w:rFonts w:ascii="Palatino Linotype" w:hAnsi="Palatino Linotype"/>
          <w:sz w:val="22"/>
          <w:szCs w:val="22"/>
          <w:lang w:val="en-US"/>
        </w:rPr>
        <w:t xml:space="preserve">entral </w:t>
      </w:r>
      <w:r w:rsidR="00551E18" w:rsidRPr="00612443">
        <w:rPr>
          <w:rFonts w:ascii="Palatino Linotype" w:hAnsi="Palatino Linotype"/>
          <w:sz w:val="22"/>
          <w:szCs w:val="22"/>
          <w:lang w:val="en-US"/>
        </w:rPr>
        <w:t>b</w:t>
      </w:r>
      <w:r w:rsidR="002F3DB1" w:rsidRPr="00612443">
        <w:rPr>
          <w:rFonts w:ascii="Palatino Linotype" w:hAnsi="Palatino Linotype"/>
          <w:sz w:val="22"/>
          <w:szCs w:val="22"/>
          <w:lang w:val="en-US"/>
        </w:rPr>
        <w:t xml:space="preserve">ank argued that this decision was made in order to mitigate the consequences that the global financial turmoil </w:t>
      </w:r>
      <w:r w:rsidR="00551E18" w:rsidRPr="00612443">
        <w:rPr>
          <w:rFonts w:ascii="Palatino Linotype" w:hAnsi="Palatino Linotype"/>
          <w:sz w:val="22"/>
          <w:szCs w:val="22"/>
          <w:lang w:val="en-US"/>
        </w:rPr>
        <w:t xml:space="preserve">might </w:t>
      </w:r>
      <w:r w:rsidR="002F3DB1" w:rsidRPr="00612443">
        <w:rPr>
          <w:rFonts w:ascii="Palatino Linotype" w:hAnsi="Palatino Linotype"/>
          <w:sz w:val="22"/>
          <w:szCs w:val="22"/>
          <w:lang w:val="en-US"/>
        </w:rPr>
        <w:t xml:space="preserve">have </w:t>
      </w:r>
      <w:r w:rsidR="00551E18" w:rsidRPr="00612443">
        <w:rPr>
          <w:rFonts w:ascii="Palatino Linotype" w:hAnsi="Palatino Linotype"/>
          <w:sz w:val="22"/>
          <w:szCs w:val="22"/>
          <w:lang w:val="en-US"/>
        </w:rPr>
        <w:t xml:space="preserve">had </w:t>
      </w:r>
      <w:r w:rsidR="002F3DB1" w:rsidRPr="00612443">
        <w:rPr>
          <w:rFonts w:ascii="Palatino Linotype" w:hAnsi="Palatino Linotype"/>
          <w:sz w:val="22"/>
          <w:szCs w:val="22"/>
          <w:lang w:val="en-US"/>
        </w:rPr>
        <w:t>on the Chilean economy.</w:t>
      </w:r>
    </w:p>
    <w:p w:rsidR="00367CD6" w:rsidRPr="00612443" w:rsidRDefault="00367CD6">
      <w:pPr>
        <w:ind w:firstLine="300"/>
        <w:rPr>
          <w:rFonts w:ascii="Palatino Linotype" w:hAnsi="Palatino Linotype"/>
          <w:sz w:val="22"/>
          <w:szCs w:val="22"/>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lastRenderedPageBreak/>
        <w:t xml:space="preserve">Figure 1 displays the evolution of the Chilean peso/dollar exchange rate in the last </w:t>
      </w:r>
      <w:r w:rsidR="00551E18" w:rsidRPr="00612443">
        <w:rPr>
          <w:rFonts w:ascii="Palatino Linotype" w:hAnsi="Palatino Linotype"/>
          <w:sz w:val="22"/>
          <w:szCs w:val="22"/>
          <w:lang w:val="en-US"/>
        </w:rPr>
        <w:t xml:space="preserve">12 </w:t>
      </w:r>
      <w:r w:rsidRPr="00612443">
        <w:rPr>
          <w:rFonts w:ascii="Palatino Linotype" w:hAnsi="Palatino Linotype"/>
          <w:sz w:val="22"/>
          <w:szCs w:val="22"/>
          <w:lang w:val="en-US"/>
        </w:rPr>
        <w:t>years. Intervention periods are depicted by four shaded bars.</w:t>
      </w:r>
    </w:p>
    <w:p w:rsidR="0058159B" w:rsidRPr="00612443" w:rsidRDefault="0058159B">
      <w:pPr>
        <w:ind w:firstLine="300"/>
        <w:rPr>
          <w:rFonts w:ascii="Palatino Linotype" w:hAnsi="Palatino Linotype"/>
          <w:sz w:val="22"/>
          <w:szCs w:val="22"/>
          <w:lang w:val="en-US"/>
        </w:rPr>
      </w:pPr>
    </w:p>
    <w:p w:rsidR="00E327EA" w:rsidRPr="00612443" w:rsidRDefault="00E327EA">
      <w:pPr>
        <w:ind w:firstLine="300"/>
        <w:rPr>
          <w:rFonts w:ascii="Palatino Linotype" w:hAnsi="Palatino Linotype"/>
          <w:sz w:val="22"/>
          <w:szCs w:val="22"/>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440F84" w:rsidRPr="00612443" w:rsidTr="00E327EA">
        <w:tc>
          <w:tcPr>
            <w:tcW w:w="8978" w:type="dxa"/>
          </w:tcPr>
          <w:p w:rsidR="00440F84" w:rsidRPr="00612443" w:rsidRDefault="00E327EA" w:rsidP="00440F84">
            <w:pPr>
              <w:jc w:val="center"/>
              <w:rPr>
                <w:rFonts w:ascii="Palatino Linotype" w:hAnsi="Palatino Linotype"/>
                <w:szCs w:val="22"/>
                <w:lang w:val="en-US"/>
              </w:rPr>
            </w:pPr>
            <w:r w:rsidRPr="00612443">
              <w:rPr>
                <w:rFonts w:ascii="Palatino Linotype" w:hAnsi="Palatino Linotype"/>
                <w:szCs w:val="22"/>
                <w:lang w:val="en-US"/>
              </w:rPr>
              <w:t xml:space="preserve">Figure 1: Exchange </w:t>
            </w:r>
            <w:r w:rsidR="00551E18" w:rsidRPr="00612443">
              <w:rPr>
                <w:rFonts w:ascii="Palatino Linotype" w:hAnsi="Palatino Linotype"/>
                <w:szCs w:val="22"/>
                <w:lang w:val="en-US"/>
              </w:rPr>
              <w:t>rate and foreign exchange interventions periods</w:t>
            </w:r>
          </w:p>
        </w:tc>
      </w:tr>
      <w:tr w:rsidR="00440F84" w:rsidRPr="00612443" w:rsidTr="00E327EA">
        <w:tc>
          <w:tcPr>
            <w:tcW w:w="8978" w:type="dxa"/>
          </w:tcPr>
          <w:p w:rsidR="00440F84" w:rsidRPr="00612443" w:rsidRDefault="00E327EA" w:rsidP="00440F84">
            <w:pPr>
              <w:jc w:val="center"/>
              <w:rPr>
                <w:rFonts w:ascii="Palatino Linotype" w:hAnsi="Palatino Linotype"/>
                <w:szCs w:val="22"/>
                <w:lang w:val="en-US"/>
              </w:rPr>
            </w:pPr>
            <w:r w:rsidRPr="00612443">
              <w:rPr>
                <w:rFonts w:ascii="Palatino Linotype" w:hAnsi="Palatino Linotype"/>
                <w:szCs w:val="22"/>
                <w:lang w:val="en-US" w:eastAsia="en-US"/>
              </w:rPr>
              <w:drawing>
                <wp:inline distT="0" distB="0" distL="0" distR="0" wp14:anchorId="67607196" wp14:editId="79F2654D">
                  <wp:extent cx="4601553" cy="2861859"/>
                  <wp:effectExtent l="0" t="0" r="8547" b="0"/>
                  <wp:docPr id="2" name="1 Imagen" descr="Figure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wmf"/>
                          <pic:cNvPicPr/>
                        </pic:nvPicPr>
                        <pic:blipFill>
                          <a:blip r:embed="rId9"/>
                          <a:stretch>
                            <a:fillRect/>
                          </a:stretch>
                        </pic:blipFill>
                        <pic:spPr>
                          <a:xfrm>
                            <a:off x="0" y="0"/>
                            <a:ext cx="4601553" cy="2861859"/>
                          </a:xfrm>
                          <a:prstGeom prst="rect">
                            <a:avLst/>
                          </a:prstGeom>
                        </pic:spPr>
                      </pic:pic>
                    </a:graphicData>
                  </a:graphic>
                </wp:inline>
              </w:drawing>
            </w:r>
          </w:p>
        </w:tc>
      </w:tr>
    </w:tbl>
    <w:p w:rsidR="00440F84" w:rsidRPr="00612443" w:rsidRDefault="00440F84" w:rsidP="00440F84">
      <w:pPr>
        <w:ind w:firstLine="300"/>
        <w:jc w:val="center"/>
        <w:rPr>
          <w:rFonts w:ascii="Palatino Linotype" w:hAnsi="Palatino Linotype"/>
          <w:sz w:val="22"/>
          <w:szCs w:val="22"/>
          <w:lang w:val="en-US"/>
        </w:rPr>
      </w:pPr>
    </w:p>
    <w:p w:rsidR="0058159B" w:rsidRPr="00612443" w:rsidRDefault="0058159B">
      <w:pPr>
        <w:ind w:firstLine="300"/>
        <w:rPr>
          <w:rFonts w:ascii="Palatino Linotype" w:hAnsi="Palatino Linotype"/>
          <w:sz w:val="22"/>
          <w:szCs w:val="22"/>
          <w:lang w:val="en-US"/>
        </w:rPr>
      </w:pPr>
    </w:p>
    <w:p w:rsidR="0058159B" w:rsidRPr="00612443" w:rsidRDefault="000D18E6" w:rsidP="00E327EA">
      <w:pPr>
        <w:ind w:firstLine="300"/>
        <w:rPr>
          <w:rFonts w:ascii="Palatino Linotype" w:hAnsi="Palatino Linotype"/>
          <w:sz w:val="22"/>
          <w:szCs w:val="22"/>
          <w:lang w:val="en-US"/>
        </w:rPr>
      </w:pPr>
      <w:r w:rsidRPr="00612443">
        <w:rPr>
          <w:rFonts w:ascii="Palatino Linotype" w:hAnsi="Palatino Linotype"/>
          <w:sz w:val="22"/>
          <w:szCs w:val="22"/>
          <w:lang w:val="en-US"/>
        </w:rPr>
        <w:t>In the next section</w:t>
      </w:r>
      <w:r w:rsidR="00551E18" w:rsidRPr="00612443">
        <w:rPr>
          <w:rFonts w:ascii="Palatino Linotype" w:hAnsi="Palatino Linotype"/>
          <w:sz w:val="22"/>
          <w:szCs w:val="22"/>
          <w:lang w:val="en-US"/>
        </w:rPr>
        <w:t>,</w:t>
      </w:r>
      <w:r w:rsidRPr="00612443">
        <w:rPr>
          <w:rFonts w:ascii="Palatino Linotype" w:hAnsi="Palatino Linotype"/>
          <w:sz w:val="22"/>
          <w:szCs w:val="22"/>
          <w:lang w:val="en-US"/>
        </w:rPr>
        <w:t xml:space="preserve"> we will show some empirical </w:t>
      </w:r>
      <w:r w:rsidR="00315934" w:rsidRPr="00612443">
        <w:rPr>
          <w:rFonts w:ascii="Palatino Linotype" w:hAnsi="Palatino Linotype"/>
          <w:sz w:val="22"/>
          <w:szCs w:val="22"/>
          <w:lang w:val="en-US"/>
        </w:rPr>
        <w:t xml:space="preserve">results </w:t>
      </w:r>
      <w:r w:rsidRPr="00612443">
        <w:rPr>
          <w:rFonts w:ascii="Palatino Linotype" w:hAnsi="Palatino Linotype"/>
          <w:sz w:val="22"/>
          <w:szCs w:val="22"/>
          <w:lang w:val="en-US"/>
        </w:rPr>
        <w:t xml:space="preserve">aimed at determining a predictive relationship between exchange rate interventions and </w:t>
      </w:r>
      <w:r w:rsidR="005C4149">
        <w:rPr>
          <w:rFonts w:ascii="Palatino Linotype" w:hAnsi="Palatino Linotype"/>
          <w:sz w:val="22"/>
          <w:szCs w:val="22"/>
          <w:lang w:val="en-US"/>
        </w:rPr>
        <w:t xml:space="preserve">both exchange rate returns and </w:t>
      </w:r>
      <w:r w:rsidRPr="00612443">
        <w:rPr>
          <w:rFonts w:ascii="Palatino Linotype" w:hAnsi="Palatino Linotype"/>
          <w:sz w:val="22"/>
          <w:szCs w:val="22"/>
          <w:lang w:val="en-US"/>
        </w:rPr>
        <w:t>inflation expectations.</w:t>
      </w:r>
    </w:p>
    <w:p w:rsidR="00D67271" w:rsidRDefault="0041049C" w:rsidP="0058159B">
      <w:pPr>
        <w:pStyle w:val="Ttulo2"/>
        <w:widowControl/>
        <w:numPr>
          <w:ilvl w:val="0"/>
          <w:numId w:val="1"/>
        </w:numPr>
        <w:spacing w:before="360"/>
        <w:rPr>
          <w:rFonts w:ascii="Palatino Linotype" w:hAnsi="Palatino Linotype"/>
          <w:szCs w:val="28"/>
          <w:lang w:val="en-US"/>
        </w:rPr>
      </w:pPr>
      <w:r>
        <w:rPr>
          <w:rFonts w:ascii="Palatino Linotype" w:hAnsi="Palatino Linotype"/>
          <w:szCs w:val="28"/>
          <w:lang w:val="en-US"/>
        </w:rPr>
        <w:t>E</w:t>
      </w:r>
      <w:r w:rsidR="00551E18" w:rsidRPr="00612443">
        <w:rPr>
          <w:rFonts w:ascii="Palatino Linotype" w:hAnsi="Palatino Linotype"/>
          <w:szCs w:val="28"/>
          <w:lang w:val="en-US"/>
        </w:rPr>
        <w:t>mpirical approach</w:t>
      </w:r>
    </w:p>
    <w:p w:rsidR="0041049C" w:rsidRPr="007D5E9A" w:rsidRDefault="0041049C" w:rsidP="0041049C">
      <w:pPr>
        <w:pStyle w:val="Prrafodelista"/>
        <w:numPr>
          <w:ilvl w:val="1"/>
          <w:numId w:val="1"/>
        </w:numPr>
        <w:rPr>
          <w:i/>
          <w:lang w:val="en-US"/>
        </w:rPr>
      </w:pPr>
      <w:r w:rsidRPr="007D5E9A">
        <w:rPr>
          <w:rFonts w:ascii="Palatino Linotype" w:hAnsi="Palatino Linotype"/>
          <w:i/>
          <w:sz w:val="22"/>
          <w:szCs w:val="22"/>
          <w:lang w:val="en-US"/>
        </w:rPr>
        <w:t>The impact on exchange rate returns</w:t>
      </w:r>
    </w:p>
    <w:p w:rsidR="0041049C" w:rsidRDefault="0041049C" w:rsidP="0041049C">
      <w:pPr>
        <w:rPr>
          <w:lang w:val="en-US"/>
        </w:rPr>
      </w:pPr>
    </w:p>
    <w:p w:rsidR="0041049C" w:rsidRPr="003D7230" w:rsidRDefault="0041049C" w:rsidP="003D7230">
      <w:pPr>
        <w:spacing w:before="60"/>
        <w:ind w:firstLine="360"/>
        <w:rPr>
          <w:rFonts w:ascii="Palatino Linotype" w:hAnsi="Palatino Linotype"/>
          <w:sz w:val="22"/>
          <w:szCs w:val="22"/>
          <w:lang w:val="en-US"/>
        </w:rPr>
      </w:pPr>
      <w:r w:rsidRPr="0041049C">
        <w:rPr>
          <w:rFonts w:ascii="Palatino Linotype" w:hAnsi="Palatino Linotype"/>
          <w:sz w:val="22"/>
          <w:szCs w:val="22"/>
          <w:lang w:val="en-US"/>
        </w:rPr>
        <w:t xml:space="preserve">In this subsection we </w:t>
      </w:r>
      <w:r>
        <w:rPr>
          <w:rFonts w:ascii="Palatino Linotype" w:hAnsi="Palatino Linotype"/>
          <w:sz w:val="22"/>
          <w:szCs w:val="22"/>
          <w:lang w:val="en-US"/>
        </w:rPr>
        <w:t>focus on analyzing the consequences</w:t>
      </w:r>
      <w:r w:rsidR="003D7230">
        <w:rPr>
          <w:rFonts w:ascii="Palatino Linotype" w:hAnsi="Palatino Linotype"/>
          <w:sz w:val="22"/>
          <w:szCs w:val="22"/>
          <w:lang w:val="en-US"/>
        </w:rPr>
        <w:t xml:space="preserve"> of forex interventions</w:t>
      </w:r>
      <w:r>
        <w:rPr>
          <w:rFonts w:ascii="Palatino Linotype" w:hAnsi="Palatino Linotype"/>
          <w:sz w:val="22"/>
          <w:szCs w:val="22"/>
          <w:lang w:val="en-US"/>
        </w:rPr>
        <w:t xml:space="preserve"> on exchange rate returns. We place our attention both</w:t>
      </w:r>
      <w:r w:rsidR="003D7230">
        <w:rPr>
          <w:rFonts w:ascii="Palatino Linotype" w:hAnsi="Palatino Linotype"/>
          <w:sz w:val="22"/>
          <w:szCs w:val="22"/>
          <w:lang w:val="en-US"/>
        </w:rPr>
        <w:t xml:space="preserve"> on </w:t>
      </w:r>
      <w:r w:rsidR="003D7230" w:rsidRPr="00612443">
        <w:rPr>
          <w:rFonts w:ascii="Palatino Linotype" w:hAnsi="Palatino Linotype"/>
          <w:sz w:val="22"/>
          <w:szCs w:val="22"/>
          <w:lang w:val="en-US"/>
        </w:rPr>
        <w:t xml:space="preserve">the announcement </w:t>
      </w:r>
      <w:r w:rsidR="003D7230">
        <w:rPr>
          <w:rFonts w:ascii="Palatino Linotype" w:hAnsi="Palatino Linotype"/>
          <w:sz w:val="22"/>
          <w:szCs w:val="22"/>
          <w:lang w:val="en-US"/>
        </w:rPr>
        <w:t xml:space="preserve">of the intervention programs </w:t>
      </w:r>
      <w:r w:rsidR="003D7230" w:rsidRPr="00612443">
        <w:rPr>
          <w:rFonts w:ascii="Palatino Linotype" w:hAnsi="Palatino Linotype"/>
          <w:sz w:val="22"/>
          <w:szCs w:val="22"/>
          <w:lang w:val="en-US"/>
        </w:rPr>
        <w:t xml:space="preserve">and </w:t>
      </w:r>
      <w:r w:rsidR="003D7230">
        <w:rPr>
          <w:rFonts w:ascii="Palatino Linotype" w:hAnsi="Palatino Linotype"/>
          <w:sz w:val="22"/>
          <w:szCs w:val="22"/>
          <w:lang w:val="en-US"/>
        </w:rPr>
        <w:t xml:space="preserve">on the </w:t>
      </w:r>
      <w:r w:rsidR="003D7230" w:rsidRPr="00612443">
        <w:rPr>
          <w:rFonts w:ascii="Palatino Linotype" w:hAnsi="Palatino Linotype"/>
          <w:sz w:val="22"/>
          <w:szCs w:val="22"/>
          <w:lang w:val="en-US"/>
        </w:rPr>
        <w:t xml:space="preserve">direct </w:t>
      </w:r>
      <w:r w:rsidR="003D7230">
        <w:rPr>
          <w:rFonts w:ascii="Palatino Linotype" w:hAnsi="Palatino Linotype"/>
          <w:sz w:val="22"/>
          <w:szCs w:val="22"/>
          <w:lang w:val="en-US"/>
        </w:rPr>
        <w:t xml:space="preserve">dollar </w:t>
      </w:r>
      <w:r w:rsidR="003D7230" w:rsidRPr="00612443">
        <w:rPr>
          <w:rFonts w:ascii="Palatino Linotype" w:hAnsi="Palatino Linotype"/>
          <w:sz w:val="22"/>
          <w:szCs w:val="22"/>
          <w:lang w:val="en-US"/>
        </w:rPr>
        <w:t xml:space="preserve">purchases </w:t>
      </w:r>
      <w:r w:rsidR="003D7230" w:rsidRPr="003D7230">
        <w:rPr>
          <w:rFonts w:ascii="Palatino Linotype" w:hAnsi="Palatino Linotype"/>
          <w:i/>
          <w:sz w:val="22"/>
          <w:szCs w:val="22"/>
          <w:lang w:val="en-US"/>
        </w:rPr>
        <w:t>per se</w:t>
      </w:r>
      <w:r w:rsidR="003D7230">
        <w:rPr>
          <w:rFonts w:ascii="Palatino Linotype" w:hAnsi="Palatino Linotype"/>
          <w:sz w:val="22"/>
          <w:szCs w:val="22"/>
          <w:lang w:val="en-US"/>
        </w:rPr>
        <w:t>. We do this by using</w:t>
      </w:r>
      <w:r w:rsidR="003D7230" w:rsidRPr="00612443">
        <w:rPr>
          <w:rFonts w:ascii="Palatino Linotype" w:hAnsi="Palatino Linotype"/>
          <w:sz w:val="22"/>
          <w:szCs w:val="22"/>
          <w:lang w:val="en-US"/>
        </w:rPr>
        <w:t xml:space="preserve"> daily data which will allow us to capture the timing of the interventions programs adequately.</w:t>
      </w:r>
      <w:r w:rsidR="003D7230">
        <w:rPr>
          <w:rFonts w:ascii="Palatino Linotype" w:hAnsi="Palatino Linotype"/>
          <w:sz w:val="22"/>
          <w:szCs w:val="22"/>
          <w:lang w:val="en-US"/>
        </w:rPr>
        <w:t xml:space="preserve"> </w:t>
      </w:r>
      <w:r w:rsidRPr="00612443">
        <w:rPr>
          <w:rFonts w:ascii="Palatino Linotype" w:hAnsi="Palatino Linotype"/>
          <w:szCs w:val="22"/>
          <w:lang w:val="en-US"/>
        </w:rPr>
        <w:t xml:space="preserve">In </w:t>
      </w:r>
      <w:r w:rsidRPr="003D7230">
        <w:rPr>
          <w:rFonts w:ascii="Palatino Linotype" w:hAnsi="Palatino Linotype"/>
          <w:sz w:val="22"/>
          <w:szCs w:val="22"/>
          <w:lang w:val="en-US"/>
        </w:rPr>
        <w:t>the case of the last two intervention programs in Chile, we identify three relevant announcements:</w:t>
      </w:r>
    </w:p>
    <w:p w:rsidR="003D7230" w:rsidRPr="00612443" w:rsidRDefault="003D7230" w:rsidP="003D7230">
      <w:pPr>
        <w:spacing w:before="60"/>
        <w:ind w:firstLine="360"/>
        <w:rPr>
          <w:rFonts w:ascii="Palatino Linotype" w:hAnsi="Palatino Linotype"/>
          <w:szCs w:val="22"/>
          <w:lang w:val="en-US"/>
        </w:rPr>
      </w:pPr>
    </w:p>
    <w:p w:rsidR="0041049C" w:rsidRPr="00612443" w:rsidRDefault="0041049C" w:rsidP="0041049C">
      <w:pPr>
        <w:pStyle w:val="Paragraph"/>
        <w:rPr>
          <w:rFonts w:ascii="Palatino Linotype" w:eastAsiaTheme="minorEastAsia" w:hAnsi="Palatino Linotype"/>
          <w:noProof/>
          <w:szCs w:val="22"/>
          <w:lang w:val="en-US" w:eastAsia="es-CL"/>
        </w:rPr>
      </w:pPr>
      <w:r w:rsidRPr="00612443">
        <w:rPr>
          <w:rFonts w:ascii="Palatino Linotype" w:eastAsiaTheme="minorEastAsia" w:hAnsi="Palatino Linotype"/>
          <w:b/>
          <w:noProof/>
          <w:szCs w:val="22"/>
          <w:lang w:val="en-US" w:eastAsia="es-CL"/>
        </w:rPr>
        <w:t>Announcement 1</w:t>
      </w:r>
      <w:r w:rsidRPr="00612443">
        <w:rPr>
          <w:rFonts w:ascii="Palatino Linotype" w:eastAsiaTheme="minorEastAsia" w:hAnsi="Palatino Linotype"/>
          <w:noProof/>
          <w:szCs w:val="22"/>
          <w:lang w:val="en-US" w:eastAsia="es-CL"/>
        </w:rPr>
        <w:t>: On April 10, 2008, the Central Bank of Chile published a press release between 7:15 PM and 7:45 PM indicating that an intervention program would start on April 14, 2008. A total of US$,8000 million would be purchased at a rate of US$50 million every day.</w:t>
      </w:r>
      <w:r w:rsidRPr="00612443">
        <w:rPr>
          <w:rFonts w:ascii="Palatino Linotype" w:eastAsiaTheme="minorEastAsia" w:hAnsi="Palatino Linotype"/>
          <w:noProof/>
          <w:szCs w:val="22"/>
          <w:vertAlign w:val="superscript"/>
          <w:lang w:val="en-US" w:eastAsia="es-CL"/>
        </w:rPr>
        <w:footnoteReference w:id="9"/>
      </w:r>
    </w:p>
    <w:p w:rsidR="0041049C" w:rsidRPr="00612443" w:rsidRDefault="0041049C" w:rsidP="0041049C">
      <w:pPr>
        <w:pStyle w:val="Paragraph"/>
        <w:rPr>
          <w:rFonts w:ascii="Palatino Linotype" w:hAnsi="Palatino Linotype"/>
          <w:szCs w:val="22"/>
          <w:lang w:val="en-US"/>
        </w:rPr>
      </w:pPr>
      <w:r w:rsidRPr="00612443">
        <w:rPr>
          <w:rFonts w:ascii="Palatino Linotype" w:hAnsi="Palatino Linotype"/>
          <w:b/>
          <w:szCs w:val="22"/>
          <w:lang w:val="en-US"/>
        </w:rPr>
        <w:lastRenderedPageBreak/>
        <w:t>Announcement 2</w:t>
      </w:r>
      <w:r w:rsidRPr="00612443">
        <w:rPr>
          <w:rFonts w:ascii="Palatino Linotype" w:hAnsi="Palatino Linotype"/>
          <w:szCs w:val="22"/>
          <w:lang w:val="en-US"/>
        </w:rPr>
        <w:t>: On September 29, 2008, the Central Bank of Chile published a press release between 5:40 PM and 5:48 PM indicating that the intervention program announced on April 10, 2008 would be discontinued immediately after the press release. After this announcement, no further dollar purchases were carried out. The central bank argued that this decision was made in order to mitigate the consequences that the global financial turmoil might have on the Chilean economy</w:t>
      </w:r>
      <w:r w:rsidRPr="00612443">
        <w:rPr>
          <w:rFonts w:ascii="Palatino Linotype" w:hAnsi="Palatino Linotype"/>
          <w:szCs w:val="22"/>
          <w:vertAlign w:val="superscript"/>
          <w:lang w:val="en-US"/>
        </w:rPr>
        <w:footnoteReference w:id="10"/>
      </w:r>
      <w:r w:rsidRPr="00612443">
        <w:rPr>
          <w:rFonts w:ascii="Palatino Linotype" w:hAnsi="Palatino Linotype"/>
          <w:szCs w:val="22"/>
          <w:lang w:val="en-US"/>
        </w:rPr>
        <w:t xml:space="preserve">. </w:t>
      </w:r>
    </w:p>
    <w:p w:rsidR="0041049C" w:rsidRPr="00612443" w:rsidRDefault="0041049C" w:rsidP="0041049C">
      <w:pPr>
        <w:pStyle w:val="Paragraph"/>
        <w:rPr>
          <w:rFonts w:ascii="Palatino Linotype" w:eastAsiaTheme="minorEastAsia" w:hAnsi="Palatino Linotype"/>
          <w:noProof/>
          <w:szCs w:val="22"/>
          <w:lang w:val="en-US" w:eastAsia="es-CL"/>
        </w:rPr>
      </w:pPr>
      <w:r w:rsidRPr="00612443">
        <w:rPr>
          <w:rFonts w:ascii="Palatino Linotype" w:eastAsiaTheme="minorEastAsia" w:hAnsi="Palatino Linotype"/>
          <w:b/>
          <w:noProof/>
          <w:szCs w:val="22"/>
          <w:lang w:val="en-US" w:eastAsia="es-CL"/>
        </w:rPr>
        <w:t>Announcement 3</w:t>
      </w:r>
      <w:r w:rsidRPr="00612443">
        <w:rPr>
          <w:rFonts w:ascii="Palatino Linotype" w:eastAsiaTheme="minorEastAsia" w:hAnsi="Palatino Linotype"/>
          <w:noProof/>
          <w:szCs w:val="22"/>
          <w:lang w:val="en-US" w:eastAsia="es-CL"/>
        </w:rPr>
        <w:t>: On January 3, 2011, the Central Bank of Chile published a press release at 6 PM indicating that an intervention program would start on January 5, 2011. A total of US$12,000 million would be purchased at a rate of US$50 million every day.</w:t>
      </w:r>
    </w:p>
    <w:p w:rsidR="0041049C" w:rsidRPr="00612443" w:rsidRDefault="0041049C" w:rsidP="0041049C">
      <w:pPr>
        <w:spacing w:before="60"/>
        <w:ind w:firstLine="360"/>
        <w:rPr>
          <w:rFonts w:ascii="Palatino Linotype" w:hAnsi="Palatino Linotype"/>
          <w:sz w:val="22"/>
          <w:szCs w:val="22"/>
          <w:lang w:val="en-US"/>
        </w:rPr>
      </w:pPr>
    </w:p>
    <w:p w:rsidR="0041049C" w:rsidRPr="00612443" w:rsidRDefault="0041049C" w:rsidP="0041049C">
      <w:pPr>
        <w:pStyle w:val="Paragraph"/>
        <w:rPr>
          <w:rFonts w:ascii="Palatino Linotype" w:eastAsiaTheme="minorEastAsia" w:hAnsi="Palatino Linotype"/>
          <w:noProof/>
          <w:szCs w:val="22"/>
          <w:lang w:val="en-US" w:eastAsia="es-CL"/>
        </w:rPr>
      </w:pPr>
      <w:r w:rsidRPr="00612443">
        <w:rPr>
          <w:rFonts w:ascii="Palatino Linotype" w:eastAsiaTheme="minorEastAsia" w:hAnsi="Palatino Linotype"/>
          <w:noProof/>
          <w:szCs w:val="22"/>
          <w:lang w:val="en-US" w:eastAsia="es-CL"/>
        </w:rPr>
        <w:t xml:space="preserve">Figures </w:t>
      </w:r>
      <w:r w:rsidR="0059679B">
        <w:rPr>
          <w:rFonts w:ascii="Palatino Linotype" w:eastAsiaTheme="minorEastAsia" w:hAnsi="Palatino Linotype"/>
          <w:noProof/>
          <w:szCs w:val="22"/>
          <w:lang w:val="en-US" w:eastAsia="es-CL"/>
        </w:rPr>
        <w:t>2</w:t>
      </w:r>
      <w:r w:rsidRPr="00612443">
        <w:rPr>
          <w:rFonts w:ascii="Palatino Linotype" w:eastAsiaTheme="minorEastAsia" w:hAnsi="Palatino Linotype"/>
          <w:noProof/>
          <w:szCs w:val="22"/>
          <w:lang w:val="en-US" w:eastAsia="es-CL"/>
        </w:rPr>
        <w:t>–</w:t>
      </w:r>
      <w:r w:rsidR="0059679B">
        <w:rPr>
          <w:rFonts w:ascii="Palatino Linotype" w:eastAsiaTheme="minorEastAsia" w:hAnsi="Palatino Linotype"/>
          <w:noProof/>
          <w:szCs w:val="22"/>
          <w:lang w:val="en-US" w:eastAsia="es-CL"/>
        </w:rPr>
        <w:t>4</w:t>
      </w:r>
      <w:r w:rsidRPr="00612443">
        <w:rPr>
          <w:rFonts w:ascii="Palatino Linotype" w:eastAsiaTheme="minorEastAsia" w:hAnsi="Palatino Linotype"/>
          <w:noProof/>
          <w:szCs w:val="22"/>
          <w:lang w:val="en-US" w:eastAsia="es-CL"/>
        </w:rPr>
        <w:t xml:space="preserve"> show the level of intraday spot exchange rate around the intervention announcement. They suggest that the announcement itself caused an important shift in the level of the exchange rate.</w:t>
      </w:r>
      <w:r w:rsidRPr="00612443">
        <w:rPr>
          <w:rFonts w:ascii="Palatino Linotype" w:eastAsiaTheme="minorEastAsia" w:hAnsi="Palatino Linotype"/>
          <w:noProof/>
          <w:szCs w:val="22"/>
          <w:vertAlign w:val="superscript"/>
          <w:lang w:val="en-US" w:eastAsia="es-CL"/>
        </w:rPr>
        <w:footnoteReference w:id="11"/>
      </w:r>
      <w:r w:rsidRPr="00612443">
        <w:rPr>
          <w:rFonts w:ascii="Palatino Linotype" w:eastAsiaTheme="minorEastAsia" w:hAnsi="Palatino Linotype"/>
          <w:noProof/>
          <w:szCs w:val="22"/>
          <w:lang w:val="en-US" w:eastAsia="es-CL"/>
        </w:rPr>
        <w:t xml:space="preserve"> In these figures, we use different colours to identify three different periods: previous to the announcement (blue), after the announcement but previous to the beginning of the forex operations (red) and the period of market operations (green). </w:t>
      </w:r>
    </w:p>
    <w:p w:rsidR="0041049C" w:rsidRPr="00612443" w:rsidRDefault="0041049C"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6F3EB8" w:rsidRDefault="006F3EB8" w:rsidP="0041049C">
      <w:pPr>
        <w:jc w:val="center"/>
        <w:rPr>
          <w:rFonts w:ascii="Palatino Linotype" w:hAnsi="Palatino Linotype"/>
          <w:lang w:val="en-US"/>
        </w:rPr>
      </w:pPr>
    </w:p>
    <w:p w:rsidR="003D7230" w:rsidRDefault="003D7230" w:rsidP="0041049C">
      <w:pPr>
        <w:jc w:val="center"/>
        <w:rPr>
          <w:rFonts w:ascii="Palatino Linotype" w:hAnsi="Palatino Linotype"/>
          <w:lang w:val="en-US"/>
        </w:rPr>
      </w:pPr>
      <w:r>
        <w:rPr>
          <w:rFonts w:ascii="Palatino Linotype" w:hAnsi="Palatino Linotype"/>
          <w:lang w:val="en-US"/>
        </w:rPr>
        <w:lastRenderedPageBreak/>
        <w:t xml:space="preserve">Figure </w:t>
      </w:r>
      <w:r w:rsidR="006F3EB8">
        <w:rPr>
          <w:rFonts w:ascii="Palatino Linotype" w:hAnsi="Palatino Linotype"/>
          <w:lang w:val="en-US"/>
        </w:rPr>
        <w:t>2</w:t>
      </w:r>
      <w:r w:rsidR="0041049C" w:rsidRPr="00612443">
        <w:rPr>
          <w:rFonts w:ascii="Palatino Linotype" w:hAnsi="Palatino Linotype"/>
          <w:lang w:val="en-US"/>
        </w:rPr>
        <w:t xml:space="preserve">: The 2008 intervention announcement impact on the level of the Chilean peso–US dollar </w:t>
      </w:r>
    </w:p>
    <w:p w:rsidR="0041049C" w:rsidRPr="00612443" w:rsidRDefault="0041049C" w:rsidP="0041049C">
      <w:pPr>
        <w:jc w:val="center"/>
        <w:rPr>
          <w:rFonts w:ascii="Palatino Linotype" w:hAnsi="Palatino Linotype"/>
          <w:sz w:val="22"/>
          <w:szCs w:val="22"/>
          <w:lang w:val="en-US"/>
        </w:rPr>
      </w:pPr>
      <w:r w:rsidRPr="00612443">
        <w:rPr>
          <w:rFonts w:ascii="Palatino Linotype" w:hAnsi="Palatino Linotype"/>
          <w:szCs w:val="22"/>
          <w:lang w:val="en-US" w:eastAsia="en-US"/>
        </w:rPr>
        <w:drawing>
          <wp:inline distT="0" distB="0" distL="0" distR="0" wp14:anchorId="54F9359D" wp14:editId="778A9AAE">
            <wp:extent cx="4969566" cy="3608516"/>
            <wp:effectExtent l="0" t="0" r="2484"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a:srcRect/>
                    <a:stretch>
                      <a:fillRect/>
                    </a:stretch>
                  </pic:blipFill>
                  <pic:spPr bwMode="auto">
                    <a:xfrm>
                      <a:off x="0" y="0"/>
                      <a:ext cx="4967952" cy="3607344"/>
                    </a:xfrm>
                    <a:prstGeom prst="rect">
                      <a:avLst/>
                    </a:prstGeom>
                    <a:noFill/>
                    <a:ln w="9525">
                      <a:noFill/>
                      <a:miter lim="800000"/>
                      <a:headEnd/>
                      <a:tailEnd/>
                    </a:ln>
                  </pic:spPr>
                </pic:pic>
              </a:graphicData>
            </a:graphic>
          </wp:inline>
        </w:drawing>
      </w:r>
    </w:p>
    <w:p w:rsidR="0041049C" w:rsidRPr="00612443" w:rsidRDefault="0041049C" w:rsidP="0041049C">
      <w:pPr>
        <w:spacing w:before="60"/>
        <w:rPr>
          <w:rFonts w:ascii="Palatino Linotype" w:hAnsi="Palatino Linotype"/>
          <w:lang w:val="en-US"/>
        </w:rPr>
      </w:pPr>
    </w:p>
    <w:p w:rsidR="0041049C" w:rsidRPr="00612443" w:rsidRDefault="0041049C" w:rsidP="0041049C">
      <w:pPr>
        <w:spacing w:before="60"/>
        <w:rPr>
          <w:rFonts w:ascii="Palatino Linotype" w:hAnsi="Palatino Linotype"/>
          <w:lang w:val="en-US"/>
        </w:rPr>
      </w:pPr>
    </w:p>
    <w:p w:rsidR="0041049C" w:rsidRPr="00612443" w:rsidRDefault="0041049C" w:rsidP="0041049C">
      <w:pPr>
        <w:spacing w:before="60"/>
        <w:rPr>
          <w:rFonts w:ascii="Palatino Linotype" w:hAnsi="Palatino Linotype"/>
          <w:lang w:val="en-US"/>
        </w:rPr>
      </w:pPr>
      <w:r w:rsidRPr="00612443">
        <w:rPr>
          <w:rFonts w:ascii="Palatino Linotype" w:hAnsi="Palatino Linotype"/>
          <w:lang w:val="en-US"/>
        </w:rPr>
        <w:t xml:space="preserve">Figure </w:t>
      </w:r>
      <w:r w:rsidR="006F3EB8">
        <w:rPr>
          <w:rFonts w:ascii="Palatino Linotype" w:hAnsi="Palatino Linotype"/>
          <w:lang w:val="en-US"/>
        </w:rPr>
        <w:t>3</w:t>
      </w:r>
      <w:r w:rsidRPr="00612443">
        <w:rPr>
          <w:rFonts w:ascii="Palatino Linotype" w:hAnsi="Palatino Linotype"/>
          <w:lang w:val="en-US"/>
        </w:rPr>
        <w:t xml:space="preserve">: The 2008 termination announcement impact on the level of the Chilean peso–US dollar </w:t>
      </w:r>
    </w:p>
    <w:p w:rsidR="0041049C" w:rsidRPr="00612443" w:rsidRDefault="0041049C" w:rsidP="0041049C">
      <w:pPr>
        <w:spacing w:before="60"/>
        <w:ind w:firstLine="360"/>
        <w:jc w:val="center"/>
        <w:rPr>
          <w:rFonts w:ascii="Palatino Linotype" w:hAnsi="Palatino Linotype"/>
          <w:sz w:val="22"/>
          <w:szCs w:val="22"/>
          <w:lang w:val="en-US"/>
        </w:rPr>
      </w:pPr>
      <w:r w:rsidRPr="00612443">
        <w:rPr>
          <w:rFonts w:ascii="Palatino Linotype" w:hAnsi="Palatino Linotype"/>
          <w:szCs w:val="22"/>
          <w:lang w:val="en-US" w:eastAsia="en-US"/>
        </w:rPr>
        <w:drawing>
          <wp:inline distT="0" distB="0" distL="0" distR="0" wp14:anchorId="1B5CEC77" wp14:editId="56E85065">
            <wp:extent cx="4993419" cy="362583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srcRect/>
                    <a:stretch>
                      <a:fillRect/>
                    </a:stretch>
                  </pic:blipFill>
                  <pic:spPr bwMode="auto">
                    <a:xfrm>
                      <a:off x="0" y="0"/>
                      <a:ext cx="4991798" cy="3624659"/>
                    </a:xfrm>
                    <a:prstGeom prst="rect">
                      <a:avLst/>
                    </a:prstGeom>
                    <a:noFill/>
                    <a:ln w="9525">
                      <a:noFill/>
                      <a:miter lim="800000"/>
                      <a:headEnd/>
                      <a:tailEnd/>
                    </a:ln>
                  </pic:spPr>
                </pic:pic>
              </a:graphicData>
            </a:graphic>
          </wp:inline>
        </w:drawing>
      </w:r>
    </w:p>
    <w:p w:rsidR="0041049C" w:rsidRPr="00612443" w:rsidRDefault="0041049C" w:rsidP="0041049C">
      <w:pPr>
        <w:spacing w:before="60"/>
        <w:ind w:firstLine="360"/>
        <w:rPr>
          <w:rFonts w:ascii="Palatino Linotype" w:hAnsi="Palatino Linotype"/>
          <w:sz w:val="22"/>
          <w:szCs w:val="22"/>
          <w:lang w:val="en-US"/>
        </w:rPr>
      </w:pPr>
    </w:p>
    <w:p w:rsidR="0041049C" w:rsidRPr="00612443" w:rsidRDefault="0041049C" w:rsidP="0041049C">
      <w:pPr>
        <w:spacing w:before="60"/>
        <w:rPr>
          <w:rFonts w:ascii="Palatino Linotype" w:hAnsi="Palatino Linotype"/>
          <w:lang w:val="en-US"/>
        </w:rPr>
      </w:pPr>
    </w:p>
    <w:p w:rsidR="0041049C" w:rsidRPr="00612443" w:rsidRDefault="0041049C" w:rsidP="0041049C">
      <w:pPr>
        <w:spacing w:before="60"/>
        <w:rPr>
          <w:rFonts w:ascii="Palatino Linotype" w:hAnsi="Palatino Linotype"/>
          <w:lang w:val="en-US"/>
        </w:rPr>
      </w:pPr>
      <w:r w:rsidRPr="00612443">
        <w:rPr>
          <w:rFonts w:ascii="Palatino Linotype" w:hAnsi="Palatino Linotype"/>
          <w:lang w:val="en-US"/>
        </w:rPr>
        <w:t xml:space="preserve">Figure </w:t>
      </w:r>
      <w:r w:rsidR="006F3EB8">
        <w:rPr>
          <w:rFonts w:ascii="Palatino Linotype" w:hAnsi="Palatino Linotype"/>
          <w:lang w:val="en-US"/>
        </w:rPr>
        <w:t>4</w:t>
      </w:r>
      <w:r w:rsidRPr="00612443">
        <w:rPr>
          <w:rFonts w:ascii="Palatino Linotype" w:hAnsi="Palatino Linotype"/>
          <w:lang w:val="en-US"/>
        </w:rPr>
        <w:t xml:space="preserve">: The 2011 intervention announcement impact on the level of the Chilean peso–US dollar </w:t>
      </w:r>
    </w:p>
    <w:p w:rsidR="0041049C" w:rsidRPr="00612443" w:rsidRDefault="0041049C" w:rsidP="0041049C">
      <w:pPr>
        <w:spacing w:before="60"/>
        <w:jc w:val="center"/>
        <w:rPr>
          <w:rFonts w:ascii="Palatino Linotype" w:hAnsi="Palatino Linotype"/>
          <w:sz w:val="22"/>
          <w:szCs w:val="22"/>
          <w:lang w:val="en-US"/>
        </w:rPr>
      </w:pPr>
      <w:r w:rsidRPr="00612443">
        <w:rPr>
          <w:rFonts w:ascii="Palatino Linotype" w:hAnsi="Palatino Linotype"/>
          <w:szCs w:val="22"/>
          <w:lang w:val="en-US" w:eastAsia="en-US"/>
        </w:rPr>
        <w:drawing>
          <wp:inline distT="0" distB="0" distL="0" distR="0" wp14:anchorId="29611141" wp14:editId="0BDFA6EF">
            <wp:extent cx="4913906" cy="3568100"/>
            <wp:effectExtent l="0" t="0" r="994"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a:srcRect/>
                    <a:stretch>
                      <a:fillRect/>
                    </a:stretch>
                  </pic:blipFill>
                  <pic:spPr bwMode="auto">
                    <a:xfrm>
                      <a:off x="0" y="0"/>
                      <a:ext cx="4914158" cy="3568283"/>
                    </a:xfrm>
                    <a:prstGeom prst="rect">
                      <a:avLst/>
                    </a:prstGeom>
                    <a:noFill/>
                    <a:ln w="9525">
                      <a:noFill/>
                      <a:miter lim="800000"/>
                      <a:headEnd/>
                      <a:tailEnd/>
                    </a:ln>
                  </pic:spPr>
                </pic:pic>
              </a:graphicData>
            </a:graphic>
          </wp:inline>
        </w:drawing>
      </w:r>
    </w:p>
    <w:p w:rsidR="0041049C" w:rsidRPr="00612443" w:rsidRDefault="0041049C" w:rsidP="0041049C">
      <w:pPr>
        <w:spacing w:before="60"/>
        <w:ind w:firstLine="360"/>
        <w:rPr>
          <w:rFonts w:ascii="Palatino Linotype" w:hAnsi="Palatino Linotype"/>
          <w:sz w:val="22"/>
          <w:szCs w:val="22"/>
          <w:lang w:val="en-US"/>
        </w:rPr>
      </w:pPr>
    </w:p>
    <w:p w:rsidR="0041049C" w:rsidRPr="00612443" w:rsidRDefault="0041049C" w:rsidP="0041049C">
      <w:pPr>
        <w:spacing w:before="60"/>
        <w:ind w:firstLine="360"/>
        <w:rPr>
          <w:rFonts w:ascii="Palatino Linotype" w:hAnsi="Palatino Linotype"/>
          <w:sz w:val="22"/>
          <w:szCs w:val="22"/>
          <w:lang w:val="en-US"/>
        </w:rPr>
      </w:pPr>
    </w:p>
    <w:p w:rsidR="0041049C" w:rsidRPr="00612443" w:rsidRDefault="0041049C" w:rsidP="0041049C">
      <w:pPr>
        <w:spacing w:before="60"/>
        <w:ind w:firstLine="360"/>
        <w:rPr>
          <w:rFonts w:ascii="Palatino Linotype" w:hAnsi="Palatino Linotype"/>
          <w:sz w:val="22"/>
          <w:szCs w:val="22"/>
          <w:lang w:val="en-US"/>
        </w:rPr>
      </w:pPr>
      <w:r w:rsidRPr="00612443">
        <w:rPr>
          <w:rFonts w:ascii="Palatino Linotype" w:hAnsi="Palatino Linotype"/>
          <w:sz w:val="22"/>
          <w:szCs w:val="22"/>
          <w:lang w:val="en-US"/>
        </w:rPr>
        <w:t>We also estimate the following expression with the aim of shedding some quantitative light in terms of the effectiveness of the intervention programs in Chile. We give special attention to the role that the announcements may play:</w:t>
      </w:r>
    </w:p>
    <w:p w:rsidR="0041049C" w:rsidRPr="00612443" w:rsidRDefault="0041049C" w:rsidP="0041049C">
      <w:pPr>
        <w:spacing w:before="60"/>
        <w:ind w:firstLine="360"/>
        <w:rPr>
          <w:rFonts w:ascii="Palatino Linotype" w:hAnsi="Palatino Linotype"/>
          <w:sz w:val="22"/>
          <w:szCs w:val="22"/>
          <w:lang w:val="en-US"/>
        </w:rPr>
      </w:pPr>
    </w:p>
    <w:p w:rsidR="0041049C" w:rsidRPr="00612443" w:rsidRDefault="0041049C" w:rsidP="0041049C">
      <w:pPr>
        <w:spacing w:before="60"/>
        <w:ind w:firstLine="360"/>
        <w:jc w:val="center"/>
        <w:rPr>
          <w:rFonts w:ascii="Palatino Linotype" w:hAnsi="Palatino Linotype"/>
          <w:sz w:val="22"/>
          <w:szCs w:val="22"/>
          <w:lang w:val="en-US"/>
        </w:rPr>
      </w:pPr>
      <m:oMath>
        <m:sSub>
          <m:sSubPr>
            <m:ctrlPr>
              <w:rPr>
                <w:rFonts w:ascii="Cambria Math" w:hAnsi="Cambria Math"/>
                <w:i/>
                <w:sz w:val="22"/>
                <w:szCs w:val="22"/>
                <w:lang w:val="en-US"/>
              </w:rPr>
            </m:ctrlPr>
          </m:sSubPr>
          <m:e>
            <m:r>
              <w:rPr>
                <w:rFonts w:ascii="Cambria Math" w:hAnsi="Cambria Math"/>
                <w:sz w:val="22"/>
                <w:szCs w:val="22"/>
                <w:lang w:val="en-US"/>
              </w:rPr>
              <m:t>r</m:t>
            </m:r>
          </m:e>
          <m:sub>
            <m:r>
              <w:rPr>
                <w:rFonts w:ascii="Cambria Math" w:hAnsi="Cambria Math"/>
                <w:sz w:val="22"/>
                <w:szCs w:val="22"/>
                <w:lang w:val="en-US"/>
              </w:rPr>
              <m:t>t</m:t>
            </m:r>
          </m:sub>
        </m:sSub>
        <m:r>
          <w:rPr>
            <w:rFonts w:ascii="Cambria Math" w:hAnsi="Cambria Math"/>
            <w:sz w:val="22"/>
            <w:szCs w:val="22"/>
            <w:lang w:val="en-US"/>
          </w:rPr>
          <m:t>=c+ρ</m:t>
        </m:r>
        <m:sSub>
          <m:sSubPr>
            <m:ctrlPr>
              <w:rPr>
                <w:rFonts w:ascii="Cambria Math" w:hAnsi="Cambria Math"/>
                <w:i/>
                <w:sz w:val="22"/>
                <w:szCs w:val="22"/>
                <w:lang w:val="en-US"/>
              </w:rPr>
            </m:ctrlPr>
          </m:sSubPr>
          <m:e>
            <m:r>
              <w:rPr>
                <w:rFonts w:ascii="Cambria Math" w:hAnsi="Cambria Math"/>
                <w:sz w:val="22"/>
                <w:szCs w:val="22"/>
                <w:lang w:val="en-US"/>
              </w:rPr>
              <m:t>r</m:t>
            </m:r>
          </m:e>
          <m:sub>
            <m:r>
              <w:rPr>
                <w:rFonts w:ascii="Cambria Math" w:hAnsi="Cambria Math"/>
                <w:sz w:val="22"/>
                <w:szCs w:val="22"/>
                <w:lang w:val="en-US"/>
              </w:rPr>
              <m:t>t-1</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2008</m:t>
            </m:r>
          </m:sub>
        </m:sSub>
        <m:sSubSup>
          <m:sSubSupPr>
            <m:ctrlPr>
              <w:rPr>
                <w:rFonts w:ascii="Cambria Math" w:hAnsi="Cambria Math"/>
                <w:i/>
                <w:sz w:val="22"/>
                <w:szCs w:val="22"/>
                <w:lang w:val="en-US"/>
              </w:rPr>
            </m:ctrlPr>
          </m:sSubSupPr>
          <m:e>
            <m:r>
              <w:rPr>
                <w:rFonts w:ascii="Cambria Math" w:hAnsi="Cambria Math"/>
                <w:sz w:val="22"/>
                <w:szCs w:val="22"/>
                <w:lang w:val="en-US"/>
              </w:rPr>
              <m:t>I</m:t>
            </m:r>
          </m:e>
          <m:sub>
            <m:r>
              <w:rPr>
                <w:rFonts w:ascii="Cambria Math" w:hAnsi="Cambria Math"/>
                <w:sz w:val="22"/>
                <w:szCs w:val="22"/>
                <w:lang w:val="en-US"/>
              </w:rPr>
              <m:t>t-1</m:t>
            </m:r>
          </m:sub>
          <m:sup>
            <m:r>
              <w:rPr>
                <w:rFonts w:ascii="Cambria Math" w:hAnsi="Cambria Math"/>
                <w:sz w:val="22"/>
                <w:szCs w:val="22"/>
                <w:lang w:val="en-US"/>
              </w:rPr>
              <m:t>2008</m:t>
            </m:r>
          </m:sup>
        </m:sSubSup>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2011</m:t>
            </m:r>
          </m:sub>
        </m:sSub>
        <m:sSubSup>
          <m:sSubSupPr>
            <m:ctrlPr>
              <w:rPr>
                <w:rFonts w:ascii="Cambria Math" w:hAnsi="Cambria Math"/>
                <w:i/>
                <w:sz w:val="22"/>
                <w:szCs w:val="22"/>
                <w:lang w:val="en-US"/>
              </w:rPr>
            </m:ctrlPr>
          </m:sSubSupPr>
          <m:e>
            <m:r>
              <w:rPr>
                <w:rFonts w:ascii="Cambria Math" w:hAnsi="Cambria Math"/>
                <w:sz w:val="22"/>
                <w:szCs w:val="22"/>
                <w:lang w:val="en-US"/>
              </w:rPr>
              <m:t>I</m:t>
            </m:r>
          </m:e>
          <m:sub>
            <m:r>
              <w:rPr>
                <w:rFonts w:ascii="Cambria Math" w:hAnsi="Cambria Math"/>
                <w:sz w:val="22"/>
                <w:szCs w:val="22"/>
                <w:lang w:val="en-US"/>
              </w:rPr>
              <m:t>t-1</m:t>
            </m:r>
          </m:sub>
          <m:sup>
            <m:r>
              <w:rPr>
                <w:rFonts w:ascii="Cambria Math" w:hAnsi="Cambria Math"/>
                <w:sz w:val="22"/>
                <w:szCs w:val="22"/>
                <w:lang w:val="en-US"/>
              </w:rPr>
              <m:t>2011</m:t>
            </m:r>
          </m:sup>
        </m:sSubSup>
        <m:r>
          <w:rPr>
            <w:rFonts w:ascii="Cambria Math" w:hAnsi="Cambria Math"/>
            <w:sz w:val="22"/>
            <w:szCs w:val="22"/>
            <w:lang w:val="en-US"/>
          </w:rPr>
          <m:t>+γ</m:t>
        </m:r>
        <m:sSub>
          <m:sSubPr>
            <m:ctrlPr>
              <w:rPr>
                <w:rFonts w:ascii="Cambria Math" w:hAnsi="Cambria Math"/>
                <w:i/>
                <w:sz w:val="22"/>
                <w:szCs w:val="22"/>
                <w:lang w:val="en-US"/>
              </w:rPr>
            </m:ctrlPr>
          </m:sSubPr>
          <m:e>
            <m:r>
              <w:rPr>
                <w:rFonts w:ascii="Cambria Math" w:hAnsi="Cambria Math"/>
                <w:sz w:val="22"/>
                <w:szCs w:val="22"/>
                <w:lang w:val="en-US"/>
              </w:rPr>
              <m:t>A</m:t>
            </m:r>
          </m:e>
          <m:sub>
            <m:r>
              <w:rPr>
                <w:rFonts w:ascii="Cambria Math" w:hAnsi="Cambria Math"/>
                <w:sz w:val="22"/>
                <w:szCs w:val="22"/>
                <w:lang w:val="en-US"/>
              </w:rPr>
              <m:t>t-1</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ε</m:t>
            </m:r>
          </m:e>
          <m:sub>
            <m:r>
              <w:rPr>
                <w:rFonts w:ascii="Cambria Math" w:hAnsi="Cambria Math"/>
                <w:sz w:val="22"/>
                <w:szCs w:val="22"/>
                <w:lang w:val="en-US"/>
              </w:rPr>
              <m:t>t</m:t>
            </m:r>
          </m:sub>
        </m:sSub>
        <m:r>
          <w:rPr>
            <w:rFonts w:ascii="Cambria Math" w:hAnsi="Cambria Math"/>
            <w:sz w:val="22"/>
            <w:szCs w:val="22"/>
            <w:lang w:val="en-US"/>
          </w:rPr>
          <m:t>-θ</m:t>
        </m:r>
        <m:sSub>
          <m:sSubPr>
            <m:ctrlPr>
              <w:rPr>
                <w:rFonts w:ascii="Cambria Math" w:hAnsi="Cambria Math"/>
                <w:i/>
                <w:sz w:val="22"/>
                <w:szCs w:val="22"/>
                <w:lang w:val="en-US"/>
              </w:rPr>
            </m:ctrlPr>
          </m:sSubPr>
          <m:e>
            <m:r>
              <w:rPr>
                <w:rFonts w:ascii="Cambria Math" w:hAnsi="Cambria Math"/>
                <w:sz w:val="22"/>
                <w:szCs w:val="22"/>
                <w:lang w:val="en-US"/>
              </w:rPr>
              <m:t>ε</m:t>
            </m:r>
          </m:e>
          <m:sub>
            <m:r>
              <w:rPr>
                <w:rFonts w:ascii="Cambria Math" w:hAnsi="Cambria Math"/>
                <w:sz w:val="22"/>
                <w:szCs w:val="22"/>
                <w:lang w:val="en-US"/>
              </w:rPr>
              <m:t>t-1</m:t>
            </m:r>
          </m:sub>
        </m:sSub>
      </m:oMath>
      <w:r w:rsidRPr="00612443">
        <w:rPr>
          <w:rFonts w:ascii="Palatino Linotype" w:hAnsi="Palatino Linotype"/>
          <w:sz w:val="22"/>
          <w:szCs w:val="22"/>
          <w:lang w:val="en-US"/>
        </w:rPr>
        <w:t xml:space="preserve">    (</w:t>
      </w:r>
      <w:r w:rsidR="00C66A1A">
        <w:rPr>
          <w:rFonts w:ascii="Palatino Linotype" w:hAnsi="Palatino Linotype"/>
          <w:sz w:val="22"/>
          <w:szCs w:val="22"/>
          <w:lang w:val="en-US"/>
        </w:rPr>
        <w:t>1</w:t>
      </w:r>
      <w:r w:rsidRPr="00612443">
        <w:rPr>
          <w:rFonts w:ascii="Palatino Linotype" w:hAnsi="Palatino Linotype"/>
          <w:sz w:val="22"/>
          <w:szCs w:val="22"/>
          <w:lang w:val="en-US"/>
        </w:rPr>
        <w:t>)</w:t>
      </w:r>
    </w:p>
    <w:p w:rsidR="0041049C" w:rsidRPr="00612443" w:rsidRDefault="0041049C" w:rsidP="0041049C">
      <w:pPr>
        <w:spacing w:before="60"/>
        <w:ind w:firstLine="360"/>
        <w:rPr>
          <w:rFonts w:ascii="Palatino Linotype" w:hAnsi="Palatino Linotype"/>
          <w:sz w:val="22"/>
          <w:szCs w:val="22"/>
          <w:lang w:val="en-US"/>
        </w:rPr>
      </w:pPr>
      <w:r w:rsidRPr="00612443">
        <w:rPr>
          <w:rFonts w:ascii="Palatino Linotype" w:hAnsi="Palatino Linotype"/>
          <w:sz w:val="22"/>
          <w:szCs w:val="22"/>
          <w:lang w:val="en-US"/>
        </w:rPr>
        <w:t>Where</w:t>
      </w:r>
    </w:p>
    <w:p w:rsidR="0041049C" w:rsidRPr="00612443" w:rsidRDefault="0041049C" w:rsidP="0041049C">
      <w:pPr>
        <w:spacing w:before="60"/>
        <w:ind w:firstLine="360"/>
        <w:rPr>
          <w:rFonts w:ascii="Palatino Linotype" w:hAnsi="Palatino Linotype"/>
          <w:sz w:val="22"/>
          <w:szCs w:val="22"/>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088"/>
      </w:tblGrid>
      <w:tr w:rsidR="0041049C" w:rsidRPr="00612443" w:rsidTr="00C943B8">
        <w:tc>
          <w:tcPr>
            <w:tcW w:w="1242" w:type="dxa"/>
            <w:vAlign w:val="center"/>
          </w:tcPr>
          <w:p w:rsidR="0041049C" w:rsidRPr="00612443" w:rsidRDefault="0041049C" w:rsidP="00C943B8">
            <w:pPr>
              <w:jc w:val="right"/>
              <w:rPr>
                <w:rFonts w:ascii="Palatino Linotype" w:hAnsi="Palatino Linotype"/>
                <w:sz w:val="22"/>
                <w:szCs w:val="22"/>
                <w:lang w:val="en-US"/>
              </w:rPr>
            </w:pPr>
            <m:oMath>
              <m:sSub>
                <m:sSubPr>
                  <m:ctrlPr>
                    <w:rPr>
                      <w:rFonts w:ascii="Cambria Math" w:hAnsi="Cambria Math"/>
                      <w:i/>
                      <w:sz w:val="22"/>
                      <w:szCs w:val="22"/>
                      <w:lang w:val="en-US"/>
                    </w:rPr>
                  </m:ctrlPr>
                </m:sSubPr>
                <m:e>
                  <m:r>
                    <w:rPr>
                      <w:rFonts w:ascii="Cambria Math" w:hAnsi="Cambria Math"/>
                      <w:sz w:val="22"/>
                      <w:szCs w:val="22"/>
                      <w:lang w:val="en-US"/>
                    </w:rPr>
                    <m:t>r</m:t>
                  </m:r>
                </m:e>
                <m:sub>
                  <m:r>
                    <w:rPr>
                      <w:rFonts w:ascii="Cambria Math" w:hAnsi="Cambria Math"/>
                      <w:sz w:val="22"/>
                      <w:szCs w:val="22"/>
                      <w:lang w:val="en-US"/>
                    </w:rPr>
                    <m:t>t</m:t>
                  </m:r>
                </m:sub>
              </m:sSub>
            </m:oMath>
            <w:r w:rsidRPr="00612443">
              <w:rPr>
                <w:rFonts w:ascii="Palatino Linotype" w:hAnsi="Palatino Linotype"/>
                <w:sz w:val="22"/>
                <w:szCs w:val="22"/>
                <w:lang w:val="en-US"/>
              </w:rPr>
              <w:t>:</w:t>
            </w:r>
          </w:p>
        </w:tc>
        <w:tc>
          <w:tcPr>
            <w:tcW w:w="7088" w:type="dxa"/>
            <w:vAlign w:val="center"/>
          </w:tcPr>
          <w:p w:rsidR="0041049C" w:rsidRPr="00612443" w:rsidRDefault="0041049C" w:rsidP="00C943B8">
            <w:pPr>
              <w:jc w:val="left"/>
              <w:rPr>
                <w:rFonts w:ascii="Palatino Linotype" w:hAnsi="Palatino Linotype"/>
                <w:sz w:val="22"/>
                <w:szCs w:val="22"/>
                <w:lang w:val="en-US"/>
              </w:rPr>
            </w:pPr>
            <w:r w:rsidRPr="00612443">
              <w:rPr>
                <w:rFonts w:ascii="Palatino Linotype" w:hAnsi="Palatino Linotype"/>
                <w:sz w:val="22"/>
                <w:szCs w:val="22"/>
                <w:lang w:val="en-US"/>
              </w:rPr>
              <w:t>Daily exchange rate log return</w:t>
            </w:r>
          </w:p>
        </w:tc>
      </w:tr>
      <w:tr w:rsidR="0041049C" w:rsidRPr="00612443" w:rsidTr="00C943B8">
        <w:tc>
          <w:tcPr>
            <w:tcW w:w="1242" w:type="dxa"/>
            <w:vAlign w:val="center"/>
          </w:tcPr>
          <w:p w:rsidR="0041049C" w:rsidRPr="00612443" w:rsidRDefault="0041049C" w:rsidP="00C943B8">
            <w:pPr>
              <w:jc w:val="right"/>
              <w:rPr>
                <w:rFonts w:ascii="Palatino Linotype" w:hAnsi="Palatino Linotype"/>
                <w:sz w:val="22"/>
                <w:szCs w:val="22"/>
                <w:lang w:val="en-US"/>
              </w:rPr>
            </w:pPr>
            <m:oMath>
              <m:sSubSup>
                <m:sSubSupPr>
                  <m:ctrlPr>
                    <w:rPr>
                      <w:rFonts w:ascii="Cambria Math" w:hAnsi="Cambria Math"/>
                      <w:i/>
                      <w:sz w:val="22"/>
                      <w:szCs w:val="22"/>
                      <w:lang w:val="en-US"/>
                    </w:rPr>
                  </m:ctrlPr>
                </m:sSubSupPr>
                <m:e>
                  <m:r>
                    <w:rPr>
                      <w:rFonts w:ascii="Cambria Math" w:hAnsi="Cambria Math"/>
                      <w:sz w:val="22"/>
                      <w:szCs w:val="22"/>
                      <w:lang w:val="en-US"/>
                    </w:rPr>
                    <m:t>I</m:t>
                  </m:r>
                </m:e>
                <m:sub>
                  <m:r>
                    <w:rPr>
                      <w:rFonts w:ascii="Cambria Math" w:hAnsi="Cambria Math"/>
                      <w:sz w:val="22"/>
                      <w:szCs w:val="22"/>
                      <w:lang w:val="en-US"/>
                    </w:rPr>
                    <m:t>t</m:t>
                  </m:r>
                </m:sub>
                <m:sup>
                  <m:r>
                    <w:rPr>
                      <w:rFonts w:ascii="Cambria Math" w:hAnsi="Cambria Math"/>
                      <w:sz w:val="22"/>
                      <w:szCs w:val="22"/>
                      <w:lang w:val="en-US"/>
                    </w:rPr>
                    <m:t>2008</m:t>
                  </m:r>
                </m:sup>
              </m:sSubSup>
            </m:oMath>
            <w:r w:rsidRPr="00612443">
              <w:rPr>
                <w:rFonts w:ascii="Palatino Linotype" w:hAnsi="Palatino Linotype"/>
                <w:sz w:val="22"/>
                <w:szCs w:val="22"/>
                <w:lang w:val="en-US"/>
              </w:rPr>
              <w:t>:</w:t>
            </w:r>
          </w:p>
        </w:tc>
        <w:tc>
          <w:tcPr>
            <w:tcW w:w="7088" w:type="dxa"/>
            <w:vAlign w:val="center"/>
          </w:tcPr>
          <w:p w:rsidR="0041049C" w:rsidRPr="00612443" w:rsidRDefault="0041049C" w:rsidP="00C943B8">
            <w:pPr>
              <w:jc w:val="left"/>
              <w:rPr>
                <w:rFonts w:ascii="Palatino Linotype" w:hAnsi="Palatino Linotype"/>
                <w:sz w:val="22"/>
                <w:szCs w:val="22"/>
                <w:lang w:val="en-US"/>
              </w:rPr>
            </w:pPr>
            <w:r w:rsidRPr="00612443">
              <w:rPr>
                <w:rFonts w:ascii="Palatino Linotype" w:hAnsi="Palatino Linotype"/>
                <w:sz w:val="22"/>
                <w:szCs w:val="22"/>
                <w:lang w:val="en-US"/>
              </w:rPr>
              <w:t>Daily interventions during the 2008 program in millions of US dollars</w:t>
            </w:r>
          </w:p>
        </w:tc>
      </w:tr>
      <w:tr w:rsidR="0041049C" w:rsidRPr="00612443" w:rsidTr="00C943B8">
        <w:tc>
          <w:tcPr>
            <w:tcW w:w="1242" w:type="dxa"/>
            <w:vAlign w:val="center"/>
          </w:tcPr>
          <w:p w:rsidR="0041049C" w:rsidRPr="00612443" w:rsidRDefault="0041049C" w:rsidP="00C943B8">
            <w:pPr>
              <w:jc w:val="right"/>
              <w:rPr>
                <w:rFonts w:ascii="Palatino Linotype" w:hAnsi="Palatino Linotype"/>
                <w:sz w:val="22"/>
                <w:szCs w:val="22"/>
                <w:lang w:val="en-US"/>
              </w:rPr>
            </w:pPr>
            <m:oMath>
              <m:sSubSup>
                <m:sSubSupPr>
                  <m:ctrlPr>
                    <w:rPr>
                      <w:rFonts w:ascii="Cambria Math" w:hAnsi="Cambria Math"/>
                      <w:i/>
                      <w:sz w:val="22"/>
                      <w:szCs w:val="22"/>
                      <w:lang w:val="en-US"/>
                    </w:rPr>
                  </m:ctrlPr>
                </m:sSubSupPr>
                <m:e>
                  <m:r>
                    <w:rPr>
                      <w:rFonts w:ascii="Cambria Math" w:hAnsi="Cambria Math"/>
                      <w:sz w:val="22"/>
                      <w:szCs w:val="22"/>
                      <w:lang w:val="en-US"/>
                    </w:rPr>
                    <m:t>I</m:t>
                  </m:r>
                </m:e>
                <m:sub>
                  <m:r>
                    <w:rPr>
                      <w:rFonts w:ascii="Cambria Math" w:hAnsi="Cambria Math"/>
                      <w:sz w:val="22"/>
                      <w:szCs w:val="22"/>
                      <w:lang w:val="en-US"/>
                    </w:rPr>
                    <m:t>t</m:t>
                  </m:r>
                </m:sub>
                <m:sup>
                  <m:r>
                    <w:rPr>
                      <w:rFonts w:ascii="Cambria Math" w:hAnsi="Cambria Math"/>
                      <w:sz w:val="22"/>
                      <w:szCs w:val="22"/>
                      <w:lang w:val="en-US"/>
                    </w:rPr>
                    <m:t>2011</m:t>
                  </m:r>
                </m:sup>
              </m:sSubSup>
            </m:oMath>
            <w:r w:rsidRPr="00612443">
              <w:rPr>
                <w:rFonts w:ascii="Palatino Linotype" w:hAnsi="Palatino Linotype"/>
                <w:sz w:val="22"/>
                <w:szCs w:val="22"/>
                <w:lang w:val="en-US"/>
              </w:rPr>
              <w:t>:</w:t>
            </w:r>
          </w:p>
        </w:tc>
        <w:tc>
          <w:tcPr>
            <w:tcW w:w="7088" w:type="dxa"/>
            <w:vAlign w:val="center"/>
          </w:tcPr>
          <w:p w:rsidR="0041049C" w:rsidRPr="00612443" w:rsidRDefault="0041049C" w:rsidP="00C943B8">
            <w:pPr>
              <w:jc w:val="left"/>
              <w:rPr>
                <w:rFonts w:ascii="Palatino Linotype" w:hAnsi="Palatino Linotype"/>
                <w:sz w:val="22"/>
                <w:szCs w:val="22"/>
                <w:lang w:val="en-US"/>
              </w:rPr>
            </w:pPr>
            <w:r w:rsidRPr="00612443">
              <w:rPr>
                <w:rFonts w:ascii="Palatino Linotype" w:hAnsi="Palatino Linotype"/>
                <w:sz w:val="22"/>
                <w:szCs w:val="22"/>
                <w:lang w:val="en-US"/>
              </w:rPr>
              <w:t>Daily interventions during the 2011 program in millions of US dollars</w:t>
            </w:r>
          </w:p>
        </w:tc>
      </w:tr>
      <w:tr w:rsidR="0041049C" w:rsidRPr="00612443" w:rsidTr="00C943B8">
        <w:tc>
          <w:tcPr>
            <w:tcW w:w="1242" w:type="dxa"/>
            <w:vAlign w:val="center"/>
          </w:tcPr>
          <w:p w:rsidR="0041049C" w:rsidRPr="00612443" w:rsidRDefault="0041049C" w:rsidP="00C943B8">
            <w:pPr>
              <w:jc w:val="right"/>
              <w:rPr>
                <w:rFonts w:ascii="Palatino Linotype" w:hAnsi="Palatino Linotype"/>
                <w:sz w:val="22"/>
                <w:szCs w:val="22"/>
                <w:lang w:val="en-US"/>
              </w:rPr>
            </w:pPr>
            <m:oMath>
              <m:sSub>
                <m:sSubPr>
                  <m:ctrlPr>
                    <w:rPr>
                      <w:rFonts w:ascii="Cambria Math" w:hAnsi="Cambria Math"/>
                      <w:i/>
                      <w:sz w:val="22"/>
                      <w:szCs w:val="22"/>
                      <w:lang w:val="en-US"/>
                    </w:rPr>
                  </m:ctrlPr>
                </m:sSubPr>
                <m:e>
                  <m:r>
                    <w:rPr>
                      <w:rFonts w:ascii="Cambria Math" w:hAnsi="Cambria Math"/>
                      <w:sz w:val="22"/>
                      <w:szCs w:val="22"/>
                      <w:lang w:val="en-US"/>
                    </w:rPr>
                    <m:t>A</m:t>
                  </m:r>
                </m:e>
                <m:sub>
                  <m:r>
                    <w:rPr>
                      <w:rFonts w:ascii="Cambria Math" w:hAnsi="Cambria Math"/>
                      <w:sz w:val="22"/>
                      <w:szCs w:val="22"/>
                      <w:lang w:val="en-US"/>
                    </w:rPr>
                    <m:t>t</m:t>
                  </m:r>
                </m:sub>
              </m:sSub>
            </m:oMath>
            <w:r w:rsidRPr="00612443">
              <w:rPr>
                <w:rFonts w:ascii="Palatino Linotype" w:hAnsi="Palatino Linotype"/>
                <w:sz w:val="22"/>
                <w:szCs w:val="22"/>
                <w:lang w:val="en-US"/>
              </w:rPr>
              <w:t>:</w:t>
            </w:r>
          </w:p>
        </w:tc>
        <w:tc>
          <w:tcPr>
            <w:tcW w:w="7088" w:type="dxa"/>
            <w:vAlign w:val="center"/>
          </w:tcPr>
          <w:p w:rsidR="0041049C" w:rsidRPr="00612443" w:rsidRDefault="0041049C" w:rsidP="00C943B8">
            <w:pPr>
              <w:jc w:val="left"/>
              <w:rPr>
                <w:rFonts w:ascii="Palatino Linotype" w:hAnsi="Palatino Linotype"/>
                <w:sz w:val="22"/>
                <w:szCs w:val="22"/>
                <w:lang w:val="en-US"/>
              </w:rPr>
            </w:pPr>
            <w:r w:rsidRPr="00612443">
              <w:rPr>
                <w:rFonts w:ascii="Palatino Linotype" w:hAnsi="Palatino Linotype"/>
                <w:sz w:val="22"/>
                <w:szCs w:val="22"/>
                <w:lang w:val="en-US"/>
              </w:rPr>
              <w:t>Interventions announcements or interruptions in billions of dollars</w:t>
            </w:r>
          </w:p>
        </w:tc>
      </w:tr>
      <w:tr w:rsidR="0041049C" w:rsidRPr="00612443" w:rsidTr="00C943B8">
        <w:tc>
          <w:tcPr>
            <w:tcW w:w="1242" w:type="dxa"/>
            <w:vAlign w:val="center"/>
          </w:tcPr>
          <w:p w:rsidR="0041049C" w:rsidRPr="00612443" w:rsidRDefault="0041049C" w:rsidP="00C943B8">
            <w:pPr>
              <w:jc w:val="right"/>
              <w:rPr>
                <w:rFonts w:ascii="Palatino Linotype" w:hAnsi="Palatino Linotype"/>
                <w:sz w:val="22"/>
                <w:szCs w:val="22"/>
                <w:lang w:val="en-US"/>
              </w:rPr>
            </w:pPr>
            <m:oMath>
              <m:sSub>
                <m:sSubPr>
                  <m:ctrlPr>
                    <w:rPr>
                      <w:rFonts w:ascii="Cambria Math" w:hAnsi="Cambria Math"/>
                      <w:i/>
                      <w:sz w:val="22"/>
                      <w:szCs w:val="22"/>
                      <w:lang w:val="en-US"/>
                    </w:rPr>
                  </m:ctrlPr>
                </m:sSubPr>
                <m:e>
                  <m:r>
                    <w:rPr>
                      <w:rFonts w:ascii="Cambria Math" w:hAnsi="Cambria Math"/>
                      <w:sz w:val="22"/>
                      <w:szCs w:val="22"/>
                      <w:lang w:val="en-US"/>
                    </w:rPr>
                    <m:t>ε</m:t>
                  </m:r>
                </m:e>
                <m:sub>
                  <m:r>
                    <w:rPr>
                      <w:rFonts w:ascii="Cambria Math" w:hAnsi="Cambria Math"/>
                      <w:sz w:val="22"/>
                      <w:szCs w:val="22"/>
                      <w:lang w:val="en-US"/>
                    </w:rPr>
                    <m:t>t</m:t>
                  </m:r>
                </m:sub>
              </m:sSub>
            </m:oMath>
            <w:r w:rsidRPr="00612443">
              <w:rPr>
                <w:rFonts w:ascii="Palatino Linotype" w:hAnsi="Palatino Linotype"/>
                <w:sz w:val="22"/>
                <w:szCs w:val="22"/>
                <w:lang w:val="en-US"/>
              </w:rPr>
              <w:t>:</w:t>
            </w:r>
          </w:p>
        </w:tc>
        <w:tc>
          <w:tcPr>
            <w:tcW w:w="7088" w:type="dxa"/>
            <w:vAlign w:val="center"/>
          </w:tcPr>
          <w:p w:rsidR="0041049C" w:rsidRPr="00612443" w:rsidRDefault="0041049C" w:rsidP="00C943B8">
            <w:pPr>
              <w:jc w:val="left"/>
              <w:rPr>
                <w:rFonts w:ascii="Palatino Linotype" w:hAnsi="Palatino Linotype"/>
                <w:sz w:val="22"/>
                <w:szCs w:val="22"/>
                <w:lang w:val="en-US"/>
              </w:rPr>
            </w:pPr>
            <w:r w:rsidRPr="00612443">
              <w:rPr>
                <w:rFonts w:ascii="Palatino Linotype" w:hAnsi="Palatino Linotype"/>
                <w:sz w:val="22"/>
                <w:szCs w:val="22"/>
                <w:lang w:val="en-US"/>
              </w:rPr>
              <w:t>Conditionally heteroskedastic white noise following a GARCH(1,1) process</w:t>
            </w:r>
          </w:p>
        </w:tc>
      </w:tr>
      <w:tr w:rsidR="0041049C" w:rsidRPr="00612443" w:rsidTr="00C943B8">
        <w:tc>
          <w:tcPr>
            <w:tcW w:w="1242" w:type="dxa"/>
            <w:vAlign w:val="center"/>
          </w:tcPr>
          <w:p w:rsidR="0041049C" w:rsidRPr="00612443" w:rsidRDefault="0041049C" w:rsidP="00C943B8">
            <w:pPr>
              <w:jc w:val="right"/>
              <w:rPr>
                <w:rFonts w:ascii="Palatino Linotype" w:hAnsi="Palatino Linotype"/>
                <w:sz w:val="22"/>
                <w:szCs w:val="22"/>
                <w:lang w:val="en-US"/>
              </w:rPr>
            </w:pPr>
          </w:p>
        </w:tc>
        <w:tc>
          <w:tcPr>
            <w:tcW w:w="7088" w:type="dxa"/>
            <w:vAlign w:val="center"/>
          </w:tcPr>
          <w:p w:rsidR="0041049C" w:rsidRPr="00612443" w:rsidRDefault="0041049C" w:rsidP="00C943B8">
            <w:pPr>
              <w:jc w:val="left"/>
              <w:rPr>
                <w:rFonts w:ascii="Palatino Linotype" w:hAnsi="Palatino Linotype"/>
                <w:sz w:val="22"/>
                <w:szCs w:val="22"/>
                <w:lang w:val="en-US"/>
              </w:rPr>
            </w:pPr>
          </w:p>
        </w:tc>
      </w:tr>
      <w:tr w:rsidR="0041049C" w:rsidRPr="00612443" w:rsidTr="00C943B8">
        <w:tc>
          <w:tcPr>
            <w:tcW w:w="1242" w:type="dxa"/>
            <w:vAlign w:val="center"/>
          </w:tcPr>
          <w:p w:rsidR="0041049C" w:rsidRPr="00612443" w:rsidRDefault="0041049C" w:rsidP="00C943B8">
            <w:pPr>
              <w:jc w:val="right"/>
              <w:rPr>
                <w:rFonts w:ascii="Palatino Linotype" w:hAnsi="Palatino Linotype"/>
                <w:sz w:val="22"/>
                <w:szCs w:val="22"/>
                <w:lang w:val="en-US"/>
              </w:rPr>
            </w:pPr>
          </w:p>
        </w:tc>
        <w:tc>
          <w:tcPr>
            <w:tcW w:w="7088" w:type="dxa"/>
            <w:vAlign w:val="center"/>
          </w:tcPr>
          <w:p w:rsidR="0041049C" w:rsidRPr="00612443" w:rsidRDefault="0041049C" w:rsidP="00C943B8">
            <w:pPr>
              <w:jc w:val="left"/>
              <w:rPr>
                <w:rFonts w:ascii="Palatino Linotype" w:hAnsi="Palatino Linotype"/>
                <w:sz w:val="22"/>
                <w:szCs w:val="22"/>
                <w:lang w:val="en-US"/>
              </w:rPr>
            </w:pPr>
          </w:p>
        </w:tc>
      </w:tr>
    </w:tbl>
    <w:p w:rsidR="0041049C" w:rsidRPr="00612443" w:rsidRDefault="0041049C" w:rsidP="0041049C">
      <w:pPr>
        <w:spacing w:before="60"/>
        <w:ind w:firstLine="360"/>
        <w:rPr>
          <w:rFonts w:ascii="Palatino Linotype" w:hAnsi="Palatino Linotype"/>
          <w:sz w:val="22"/>
          <w:szCs w:val="22"/>
          <w:lang w:val="en-US"/>
        </w:rPr>
      </w:pPr>
      <w:r w:rsidRPr="00612443">
        <w:rPr>
          <w:rFonts w:ascii="Palatino Linotype" w:hAnsi="Palatino Linotype"/>
          <w:sz w:val="22"/>
          <w:szCs w:val="22"/>
          <w:lang w:val="en-US"/>
        </w:rPr>
        <w:t xml:space="preserve">We notice that </w:t>
      </w:r>
      <m:oMath>
        <m:sSub>
          <m:sSubPr>
            <m:ctrlPr>
              <w:rPr>
                <w:rFonts w:ascii="Cambria Math" w:hAnsi="Cambria Math"/>
                <w:i/>
                <w:sz w:val="22"/>
                <w:szCs w:val="22"/>
                <w:lang w:val="en-US"/>
              </w:rPr>
            </m:ctrlPr>
          </m:sSubPr>
          <m:e>
            <m:r>
              <w:rPr>
                <w:rFonts w:ascii="Cambria Math" w:hAnsi="Cambria Math"/>
                <w:sz w:val="22"/>
                <w:szCs w:val="22"/>
                <w:lang w:val="en-US"/>
              </w:rPr>
              <m:t>A</m:t>
            </m:r>
          </m:e>
          <m:sub>
            <m:r>
              <w:rPr>
                <w:rFonts w:ascii="Cambria Math" w:hAnsi="Cambria Math"/>
                <w:sz w:val="22"/>
                <w:szCs w:val="22"/>
                <w:lang w:val="en-US"/>
              </w:rPr>
              <m:t>t</m:t>
            </m:r>
          </m:sub>
        </m:sSub>
      </m:oMath>
      <w:r w:rsidRPr="00612443">
        <w:rPr>
          <w:rFonts w:ascii="Palatino Linotype" w:hAnsi="Palatino Linotype"/>
          <w:sz w:val="22"/>
          <w:szCs w:val="22"/>
          <w:lang w:val="en-US"/>
        </w:rPr>
        <w:t xml:space="preserve"> is a variable of zeroes except for the days of the announcements. Therefore </w:t>
      </w:r>
      <m:oMath>
        <m:sSub>
          <m:sSubPr>
            <m:ctrlPr>
              <w:rPr>
                <w:rFonts w:ascii="Cambria Math" w:hAnsi="Cambria Math"/>
                <w:i/>
                <w:sz w:val="22"/>
                <w:szCs w:val="22"/>
                <w:lang w:val="en-US"/>
              </w:rPr>
            </m:ctrlPr>
          </m:sSubPr>
          <m:e>
            <m:r>
              <w:rPr>
                <w:rFonts w:ascii="Cambria Math" w:hAnsi="Cambria Math"/>
                <w:sz w:val="22"/>
                <w:szCs w:val="22"/>
                <w:lang w:val="en-US"/>
              </w:rPr>
              <m:t>A</m:t>
            </m:r>
          </m:e>
          <m:sub>
            <m:r>
              <w:rPr>
                <w:rFonts w:ascii="Cambria Math" w:hAnsi="Cambria Math"/>
                <w:sz w:val="22"/>
                <w:szCs w:val="22"/>
                <w:lang w:val="en-US"/>
              </w:rPr>
              <m:t>t</m:t>
            </m:r>
          </m:sub>
        </m:sSub>
      </m:oMath>
      <w:r w:rsidRPr="00612443">
        <w:rPr>
          <w:rFonts w:ascii="Palatino Linotype" w:hAnsi="Palatino Linotype"/>
          <w:sz w:val="22"/>
          <w:szCs w:val="22"/>
          <w:lang w:val="en-US"/>
        </w:rPr>
        <w:t xml:space="preserve"> takes the value of 8 on April 10, 2008, the value of –2.25 on September 29, </w:t>
      </w:r>
      <w:r w:rsidRPr="00612443">
        <w:rPr>
          <w:rFonts w:ascii="Palatino Linotype" w:hAnsi="Palatino Linotype"/>
          <w:sz w:val="22"/>
          <w:szCs w:val="22"/>
          <w:lang w:val="en-US"/>
        </w:rPr>
        <w:lastRenderedPageBreak/>
        <w:t>2008 and the value of 12 on January 3, 2011. These numbers correspond to the total size of the intervention programs announced. In the case of the negative number, it corresponds to the sudden interruption of the 2008 intervention program. Let us recall that the 2008 program was supposed to buy US$8,000 million. It only purchased US$5,750 million, so we assume that the market was surprised by the interruption of the program in terms of the US$ 2,250 millions that were not fulfilled.</w:t>
      </w:r>
    </w:p>
    <w:p w:rsidR="0041049C" w:rsidRPr="00612443" w:rsidRDefault="0041049C" w:rsidP="0041049C">
      <w:pPr>
        <w:spacing w:before="60"/>
        <w:ind w:firstLine="360"/>
        <w:rPr>
          <w:rFonts w:ascii="Palatino Linotype" w:hAnsi="Palatino Linotype"/>
          <w:sz w:val="22"/>
          <w:szCs w:val="22"/>
          <w:lang w:val="en-US"/>
        </w:rPr>
      </w:pPr>
    </w:p>
    <w:p w:rsidR="0041049C" w:rsidRPr="00612443" w:rsidRDefault="0041049C" w:rsidP="0041049C">
      <w:pPr>
        <w:spacing w:before="60"/>
        <w:ind w:firstLine="360"/>
        <w:rPr>
          <w:rFonts w:ascii="Palatino Linotype" w:hAnsi="Palatino Linotype"/>
          <w:sz w:val="22"/>
          <w:szCs w:val="22"/>
          <w:lang w:val="en-US"/>
        </w:rPr>
      </w:pPr>
    </w:p>
    <w:tbl>
      <w:tblPr>
        <w:tblW w:w="8400" w:type="dxa"/>
        <w:tblInd w:w="57" w:type="dxa"/>
        <w:tblCellMar>
          <w:left w:w="70" w:type="dxa"/>
          <w:right w:w="70" w:type="dxa"/>
        </w:tblCellMar>
        <w:tblLook w:val="04A0" w:firstRow="1" w:lastRow="0" w:firstColumn="1" w:lastColumn="0" w:noHBand="0" w:noVBand="1"/>
      </w:tblPr>
      <w:tblGrid>
        <w:gridCol w:w="1590"/>
        <w:gridCol w:w="1135"/>
        <w:gridCol w:w="1135"/>
        <w:gridCol w:w="1135"/>
        <w:gridCol w:w="1135"/>
        <w:gridCol w:w="1135"/>
        <w:gridCol w:w="1135"/>
      </w:tblGrid>
      <w:tr w:rsidR="0041049C" w:rsidRPr="00612443" w:rsidTr="00C943B8">
        <w:trPr>
          <w:trHeight w:val="300"/>
        </w:trPr>
        <w:tc>
          <w:tcPr>
            <w:tcW w:w="8400" w:type="dxa"/>
            <w:gridSpan w:val="7"/>
            <w:tcBorders>
              <w:top w:val="nil"/>
              <w:left w:val="nil"/>
              <w:right w:val="nil"/>
            </w:tcBorders>
            <w:shd w:val="clear" w:color="auto" w:fill="auto"/>
            <w:noWrap/>
            <w:vAlign w:val="bottom"/>
            <w:hideMark/>
          </w:tcPr>
          <w:p w:rsidR="0041049C" w:rsidRPr="00612443" w:rsidRDefault="0041049C" w:rsidP="00C66A1A">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 xml:space="preserve">Table </w:t>
            </w:r>
            <w:r w:rsidR="00C66A1A">
              <w:rPr>
                <w:rFonts w:ascii="Palatino Linotype" w:eastAsia="Times New Roman" w:hAnsi="Palatino Linotype"/>
                <w:noProof w:val="0"/>
                <w:color w:val="000000"/>
                <w:lang w:val="en-US"/>
              </w:rPr>
              <w:t>1</w:t>
            </w:r>
            <w:r w:rsidRPr="00612443">
              <w:rPr>
                <w:rFonts w:ascii="Palatino Linotype" w:eastAsia="Times New Roman" w:hAnsi="Palatino Linotype"/>
                <w:noProof w:val="0"/>
                <w:color w:val="000000"/>
                <w:lang w:val="en-US"/>
              </w:rPr>
              <w:t>: The impact of exchange rate interventions on</w:t>
            </w:r>
          </w:p>
        </w:tc>
      </w:tr>
      <w:tr w:rsidR="0041049C" w:rsidRPr="00612443" w:rsidTr="00C943B8">
        <w:trPr>
          <w:trHeight w:val="300"/>
        </w:trPr>
        <w:tc>
          <w:tcPr>
            <w:tcW w:w="8400" w:type="dxa"/>
            <w:gridSpan w:val="7"/>
            <w:tcBorders>
              <w:top w:val="nil"/>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daily exchange rate returns</w:t>
            </w:r>
            <w:r w:rsidRPr="00612443">
              <w:rPr>
                <w:rStyle w:val="Refdenotaalpie"/>
                <w:rFonts w:ascii="Palatino Linotype" w:hAnsi="Palatino Linotype"/>
                <w:sz w:val="22"/>
                <w:szCs w:val="22"/>
                <w:lang w:val="en-US"/>
              </w:rPr>
              <w:footnoteReference w:id="12"/>
            </w:r>
          </w:p>
        </w:tc>
      </w:tr>
      <w:tr w:rsidR="0041049C" w:rsidRPr="00612443" w:rsidTr="00C943B8">
        <w:trPr>
          <w:trHeight w:val="300"/>
        </w:trPr>
        <w:tc>
          <w:tcPr>
            <w:tcW w:w="1590" w:type="dxa"/>
            <w:tcBorders>
              <w:top w:val="double" w:sz="4" w:space="0" w:color="auto"/>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Dependent</w:t>
            </w:r>
          </w:p>
        </w:tc>
        <w:tc>
          <w:tcPr>
            <w:tcW w:w="1135" w:type="dxa"/>
            <w:tcBorders>
              <w:top w:val="double" w:sz="4" w:space="0" w:color="auto"/>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w:t>
            </w:r>
          </w:p>
        </w:tc>
        <w:tc>
          <w:tcPr>
            <w:tcW w:w="1135" w:type="dxa"/>
            <w:tcBorders>
              <w:top w:val="double" w:sz="4" w:space="0" w:color="auto"/>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w:t>
            </w:r>
          </w:p>
        </w:tc>
        <w:tc>
          <w:tcPr>
            <w:tcW w:w="1135" w:type="dxa"/>
            <w:tcBorders>
              <w:top w:val="double" w:sz="4" w:space="0" w:color="auto"/>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(3)</w:t>
            </w:r>
          </w:p>
        </w:tc>
        <w:tc>
          <w:tcPr>
            <w:tcW w:w="1135" w:type="dxa"/>
            <w:tcBorders>
              <w:top w:val="double" w:sz="4" w:space="0" w:color="auto"/>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(4)</w:t>
            </w:r>
          </w:p>
        </w:tc>
        <w:tc>
          <w:tcPr>
            <w:tcW w:w="1135" w:type="dxa"/>
            <w:tcBorders>
              <w:top w:val="double" w:sz="4" w:space="0" w:color="auto"/>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(5)</w:t>
            </w:r>
          </w:p>
        </w:tc>
        <w:tc>
          <w:tcPr>
            <w:tcW w:w="1135" w:type="dxa"/>
            <w:tcBorders>
              <w:top w:val="double" w:sz="4" w:space="0" w:color="auto"/>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(6)</w:t>
            </w:r>
          </w:p>
        </w:tc>
      </w:tr>
      <w:tr w:rsidR="0041049C" w:rsidRPr="00612443" w:rsidTr="00C943B8">
        <w:trPr>
          <w:trHeight w:val="300"/>
        </w:trPr>
        <w:tc>
          <w:tcPr>
            <w:tcW w:w="1590" w:type="dxa"/>
            <w:tcBorders>
              <w:top w:val="single" w:sz="4" w:space="0" w:color="auto"/>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Variable</w:t>
            </w:r>
          </w:p>
        </w:tc>
        <w:tc>
          <w:tcPr>
            <w:tcW w:w="1135" w:type="dxa"/>
            <w:tcBorders>
              <w:top w:val="single" w:sz="4" w:space="0" w:color="auto"/>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r>
                  <w:rPr>
                    <w:rFonts w:ascii="Cambria Math" w:hAnsi="Cambria Math"/>
                    <w:sz w:val="22"/>
                    <w:szCs w:val="22"/>
                    <w:lang w:val="en-US"/>
                  </w:rPr>
                  <m:t>c</m:t>
                </m:r>
              </m:oMath>
            </m:oMathPara>
          </w:p>
        </w:tc>
        <w:tc>
          <w:tcPr>
            <w:tcW w:w="1135" w:type="dxa"/>
            <w:tcBorders>
              <w:top w:val="single" w:sz="4" w:space="0" w:color="auto"/>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r>
                  <w:rPr>
                    <w:rFonts w:ascii="Cambria Math" w:hAnsi="Cambria Math"/>
                    <w:sz w:val="22"/>
                    <w:szCs w:val="22"/>
                    <w:lang w:val="en-US"/>
                  </w:rPr>
                  <m:t>ρ</m:t>
                </m:r>
              </m:oMath>
            </m:oMathPara>
          </w:p>
        </w:tc>
        <w:tc>
          <w:tcPr>
            <w:tcW w:w="1135" w:type="dxa"/>
            <w:tcBorders>
              <w:top w:val="single" w:sz="4" w:space="0" w:color="auto"/>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2008</m:t>
                    </m:r>
                  </m:sub>
                </m:sSub>
              </m:oMath>
            </m:oMathPara>
          </w:p>
        </w:tc>
        <w:tc>
          <w:tcPr>
            <w:tcW w:w="1135" w:type="dxa"/>
            <w:tcBorders>
              <w:top w:val="single" w:sz="4" w:space="0" w:color="auto"/>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2011</m:t>
                    </m:r>
                  </m:sub>
                </m:sSub>
              </m:oMath>
            </m:oMathPara>
          </w:p>
        </w:tc>
        <w:tc>
          <w:tcPr>
            <w:tcW w:w="1135" w:type="dxa"/>
            <w:tcBorders>
              <w:top w:val="single" w:sz="4" w:space="0" w:color="auto"/>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r>
                  <w:rPr>
                    <w:rFonts w:ascii="Cambria Math" w:hAnsi="Cambria Math"/>
                    <w:sz w:val="22"/>
                    <w:szCs w:val="22"/>
                    <w:lang w:val="en-US"/>
                  </w:rPr>
                  <m:t>γ</m:t>
                </m:r>
              </m:oMath>
            </m:oMathPara>
          </w:p>
        </w:tc>
        <w:tc>
          <w:tcPr>
            <w:tcW w:w="1135" w:type="dxa"/>
            <w:tcBorders>
              <w:top w:val="single" w:sz="4" w:space="0" w:color="auto"/>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r>
                  <w:rPr>
                    <w:rFonts w:ascii="Cambria Math" w:hAnsi="Cambria Math"/>
                    <w:sz w:val="22"/>
                    <w:szCs w:val="22"/>
                    <w:lang w:val="en-US"/>
                  </w:rPr>
                  <m:t>θ</m:t>
                </m:r>
              </m:oMath>
            </m:oMathPara>
          </w:p>
        </w:tc>
      </w:tr>
      <w:tr w:rsidR="0041049C" w:rsidRPr="00612443" w:rsidTr="00C943B8">
        <w:trPr>
          <w:trHeight w:val="300"/>
        </w:trPr>
        <w:tc>
          <w:tcPr>
            <w:tcW w:w="1590"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sSub>
                  <m:sSubPr>
                    <m:ctrlPr>
                      <w:rPr>
                        <w:rFonts w:ascii="Cambria Math" w:hAnsi="Cambria Math"/>
                        <w:i/>
                        <w:sz w:val="22"/>
                        <w:szCs w:val="22"/>
                        <w:lang w:val="en-US"/>
                      </w:rPr>
                    </m:ctrlPr>
                  </m:sSubPr>
                  <m:e>
                    <m:r>
                      <w:rPr>
                        <w:rFonts w:ascii="Cambria Math" w:hAnsi="Cambria Math"/>
                        <w:sz w:val="22"/>
                        <w:szCs w:val="22"/>
                        <w:lang w:val="en-US"/>
                      </w:rPr>
                      <m:t>r</m:t>
                    </m:r>
                  </m:e>
                  <m:sub>
                    <m:r>
                      <w:rPr>
                        <w:rFonts w:ascii="Cambria Math" w:hAnsi="Cambria Math"/>
                        <w:sz w:val="22"/>
                        <w:szCs w:val="22"/>
                        <w:lang w:val="en-US"/>
                      </w:rPr>
                      <m:t>t</m:t>
                    </m:r>
                  </m:sub>
                </m:sSub>
              </m:oMath>
            </m:oMathPara>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-0.032***</w:t>
            </w: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0.349***</w:t>
            </w: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0.003**</w:t>
            </w: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0.0003</w:t>
            </w: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0.328***</w:t>
            </w: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0.364***</w:t>
            </w:r>
          </w:p>
        </w:tc>
      </w:tr>
      <w:tr w:rsidR="0041049C" w:rsidRPr="00612443" w:rsidTr="00C943B8">
        <w:trPr>
          <w:trHeight w:val="300"/>
        </w:trPr>
        <w:tc>
          <w:tcPr>
            <w:tcW w:w="1590"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[-3.25]</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[5.73]</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[2.01]</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[0.521]</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[27.14]</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[5.466]</w:t>
            </w:r>
          </w:p>
        </w:tc>
      </w:tr>
      <w:tr w:rsidR="0041049C" w:rsidRPr="00612443" w:rsidTr="00C943B8">
        <w:trPr>
          <w:trHeight w:val="300"/>
        </w:trPr>
        <w:tc>
          <w:tcPr>
            <w:tcW w:w="1590"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No. Obs.</w:t>
            </w: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1,757</w:t>
            </w: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r>
      <w:tr w:rsidR="0041049C" w:rsidRPr="00612443" w:rsidTr="00C943B8">
        <w:trPr>
          <w:trHeight w:val="300"/>
        </w:trPr>
        <w:tc>
          <w:tcPr>
            <w:tcW w:w="1590"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position w:val="-4"/>
                <w:lang w:val="en-US"/>
              </w:rPr>
              <w:object w:dxaOrig="3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5pt" o:ole="">
                  <v:imagedata r:id="rId13" o:title=""/>
                </v:shape>
                <o:OLEObject Type="Embed" ProgID="Equation.DSMT4" ShapeID="_x0000_i1025" DrawAspect="Content" ObjectID="_1552495461" r:id="rId14"/>
              </w:object>
            </w:r>
          </w:p>
        </w:tc>
        <w:tc>
          <w:tcPr>
            <w:tcW w:w="1135"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0.026</w:t>
            </w:r>
          </w:p>
        </w:tc>
        <w:tc>
          <w:tcPr>
            <w:tcW w:w="1135"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r>
      <w:tr w:rsidR="0041049C" w:rsidRPr="00612443" w:rsidTr="00C943B8">
        <w:trPr>
          <w:trHeight w:val="300"/>
        </w:trPr>
        <w:tc>
          <w:tcPr>
            <w:tcW w:w="1590" w:type="dxa"/>
            <w:tcBorders>
              <w:top w:val="nil"/>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Durbin-Watson</w:t>
            </w:r>
          </w:p>
        </w:tc>
        <w:tc>
          <w:tcPr>
            <w:tcW w:w="1135" w:type="dxa"/>
            <w:tcBorders>
              <w:top w:val="nil"/>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1.966</w:t>
            </w:r>
          </w:p>
        </w:tc>
        <w:tc>
          <w:tcPr>
            <w:tcW w:w="1135" w:type="dxa"/>
            <w:tcBorders>
              <w:top w:val="nil"/>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nil"/>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nil"/>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nil"/>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nil"/>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r>
      <w:tr w:rsidR="0041049C" w:rsidRPr="00612443" w:rsidTr="00C943B8">
        <w:trPr>
          <w:trHeight w:val="300"/>
        </w:trPr>
        <w:tc>
          <w:tcPr>
            <w:tcW w:w="8400" w:type="dxa"/>
            <w:gridSpan w:val="7"/>
            <w:tcBorders>
              <w:top w:val="sing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i/>
                <w:noProof w:val="0"/>
                <w:color w:val="000000"/>
                <w:lang w:val="en-US"/>
              </w:rPr>
              <w:t>t</w:t>
            </w:r>
            <w:r w:rsidRPr="00612443">
              <w:rPr>
                <w:rFonts w:ascii="Palatino Linotype" w:eastAsia="Times New Roman" w:hAnsi="Palatino Linotype"/>
                <w:noProof w:val="0"/>
                <w:color w:val="000000"/>
                <w:lang w:val="en-US"/>
              </w:rPr>
              <w:t>-Statistics are shown in [...]. (*) (**) (***) significant at the 10%, 5% and 1% level.</w:t>
            </w:r>
          </w:p>
        </w:tc>
      </w:tr>
    </w:tbl>
    <w:p w:rsidR="0041049C" w:rsidRPr="00612443" w:rsidRDefault="0041049C" w:rsidP="0041049C">
      <w:pPr>
        <w:spacing w:before="60"/>
        <w:ind w:firstLine="360"/>
        <w:rPr>
          <w:rFonts w:ascii="Palatino Linotype" w:hAnsi="Palatino Linotype"/>
          <w:sz w:val="22"/>
          <w:szCs w:val="22"/>
          <w:lang w:val="en-US"/>
        </w:rPr>
      </w:pPr>
    </w:p>
    <w:p w:rsidR="0041049C" w:rsidRPr="00612443" w:rsidRDefault="0041049C" w:rsidP="0041049C">
      <w:pPr>
        <w:spacing w:before="60"/>
        <w:ind w:firstLine="360"/>
        <w:rPr>
          <w:rFonts w:ascii="Palatino Linotype" w:hAnsi="Palatino Linotype"/>
          <w:sz w:val="22"/>
          <w:szCs w:val="22"/>
          <w:lang w:val="en-US"/>
        </w:rPr>
      </w:pPr>
    </w:p>
    <w:p w:rsidR="0041049C" w:rsidRPr="00612443" w:rsidRDefault="0041049C" w:rsidP="0041049C">
      <w:pPr>
        <w:spacing w:before="60"/>
        <w:rPr>
          <w:rFonts w:ascii="Palatino Linotype" w:hAnsi="Palatino Linotype"/>
          <w:sz w:val="22"/>
          <w:szCs w:val="22"/>
          <w:lang w:val="en-US"/>
        </w:rPr>
      </w:pPr>
      <w:r w:rsidRPr="00612443">
        <w:rPr>
          <w:rFonts w:ascii="Palatino Linotype" w:hAnsi="Palatino Linotype"/>
          <w:sz w:val="22"/>
          <w:szCs w:val="22"/>
          <w:lang w:val="en-US"/>
        </w:rPr>
        <w:t>Table 1 shows the results of the maximum likelihood estimation of (</w:t>
      </w:r>
      <w:r w:rsidR="00C66A1A">
        <w:rPr>
          <w:rFonts w:ascii="Palatino Linotype" w:hAnsi="Palatino Linotype"/>
          <w:sz w:val="22"/>
          <w:szCs w:val="22"/>
          <w:lang w:val="en-US"/>
        </w:rPr>
        <w:t>1</w:t>
      </w:r>
      <w:r w:rsidRPr="00612443">
        <w:rPr>
          <w:rFonts w:ascii="Palatino Linotype" w:hAnsi="Palatino Linotype"/>
          <w:sz w:val="22"/>
          <w:szCs w:val="22"/>
          <w:lang w:val="en-US"/>
        </w:rPr>
        <w:t xml:space="preserve">). This table indicates that the direct purchases of dollars carried out in 2008 had a statistically significant effect on daily exchange rate returns. The similar dollar purchases carried out during the 2011 intervention are not statistically significant, however. Nevertheless, our announcement variable is statistically significant, suggesting that the intervention announcements shifted upwards exchange rate returns, which is consistent with the evidence depicted in Figures </w:t>
      </w:r>
      <w:r w:rsidR="00C66A1A">
        <w:rPr>
          <w:rFonts w:ascii="Palatino Linotype" w:hAnsi="Palatino Linotype"/>
          <w:sz w:val="22"/>
          <w:szCs w:val="22"/>
          <w:lang w:val="en-US"/>
        </w:rPr>
        <w:t>2</w:t>
      </w:r>
      <w:r w:rsidRPr="00612443">
        <w:rPr>
          <w:rFonts w:ascii="Palatino Linotype" w:hAnsi="Palatino Linotype"/>
          <w:sz w:val="22"/>
          <w:szCs w:val="22"/>
          <w:lang w:val="en-US"/>
        </w:rPr>
        <w:t>–</w:t>
      </w:r>
      <w:r w:rsidR="00C66A1A">
        <w:rPr>
          <w:rFonts w:ascii="Palatino Linotype" w:hAnsi="Palatino Linotype"/>
          <w:sz w:val="22"/>
          <w:szCs w:val="22"/>
          <w:lang w:val="en-US"/>
        </w:rPr>
        <w:t>4</w:t>
      </w:r>
      <w:r w:rsidRPr="00612443">
        <w:rPr>
          <w:rFonts w:ascii="Palatino Linotype" w:hAnsi="Palatino Linotype"/>
          <w:sz w:val="22"/>
          <w:szCs w:val="22"/>
          <w:lang w:val="en-US"/>
        </w:rPr>
        <w:t>.</w:t>
      </w:r>
    </w:p>
    <w:p w:rsidR="0041049C" w:rsidRDefault="0041049C" w:rsidP="0041049C">
      <w:pPr>
        <w:spacing w:before="60"/>
        <w:rPr>
          <w:rFonts w:ascii="Palatino Linotype" w:hAnsi="Palatino Linotype"/>
          <w:sz w:val="22"/>
          <w:szCs w:val="22"/>
          <w:lang w:val="en-US"/>
        </w:rPr>
      </w:pPr>
    </w:p>
    <w:p w:rsidR="00612D21" w:rsidRPr="007D5E9A" w:rsidRDefault="00612D21" w:rsidP="00612D21">
      <w:pPr>
        <w:pStyle w:val="Prrafodelista"/>
        <w:numPr>
          <w:ilvl w:val="1"/>
          <w:numId w:val="1"/>
        </w:numPr>
        <w:rPr>
          <w:i/>
          <w:lang w:val="en-US"/>
        </w:rPr>
      </w:pPr>
      <w:r w:rsidRPr="007D5E9A">
        <w:rPr>
          <w:rFonts w:ascii="Palatino Linotype" w:hAnsi="Palatino Linotype"/>
          <w:i/>
          <w:sz w:val="22"/>
          <w:szCs w:val="22"/>
          <w:lang w:val="en-US"/>
        </w:rPr>
        <w:t xml:space="preserve">The impact on </w:t>
      </w:r>
      <w:r w:rsidRPr="007D5E9A">
        <w:rPr>
          <w:rFonts w:ascii="Palatino Linotype" w:hAnsi="Palatino Linotype"/>
          <w:i/>
          <w:sz w:val="22"/>
          <w:szCs w:val="22"/>
          <w:lang w:val="en-US"/>
        </w:rPr>
        <w:t>break-even inflation rate</w:t>
      </w:r>
    </w:p>
    <w:p w:rsidR="00612D21" w:rsidRPr="00612443" w:rsidRDefault="00612D21" w:rsidP="0041049C">
      <w:pPr>
        <w:spacing w:before="60"/>
        <w:rPr>
          <w:rFonts w:ascii="Palatino Linotype" w:hAnsi="Palatino Linotype"/>
          <w:sz w:val="22"/>
          <w:szCs w:val="22"/>
          <w:lang w:val="en-US"/>
        </w:rPr>
      </w:pPr>
    </w:p>
    <w:p w:rsidR="0041049C" w:rsidRPr="00612443" w:rsidRDefault="0041049C" w:rsidP="0041049C">
      <w:pPr>
        <w:spacing w:before="60"/>
        <w:rPr>
          <w:rFonts w:ascii="Palatino Linotype" w:hAnsi="Palatino Linotype"/>
          <w:sz w:val="22"/>
          <w:szCs w:val="22"/>
          <w:lang w:val="en-US"/>
        </w:rPr>
      </w:pPr>
      <w:r w:rsidRPr="00612443">
        <w:rPr>
          <w:rFonts w:ascii="Palatino Linotype" w:hAnsi="Palatino Linotype"/>
          <w:sz w:val="22"/>
          <w:szCs w:val="22"/>
          <w:lang w:val="en-US"/>
        </w:rPr>
        <w:t>We now focus on the estimation of the effect of exchange market interventions on a measure of break-even inflation rate. We consider a measure that should be interpreted as an expectation of the inflation that will be accumulated over one year, starting 12 months from the current period. We use this variable as a proxy of the two-years ahead inflation expectations. We consider the following specification:</w:t>
      </w:r>
    </w:p>
    <w:p w:rsidR="0041049C" w:rsidRPr="00612443" w:rsidRDefault="0041049C" w:rsidP="0041049C">
      <w:pPr>
        <w:spacing w:before="60"/>
        <w:ind w:firstLine="360"/>
        <w:jc w:val="center"/>
        <w:rPr>
          <w:rFonts w:ascii="Palatino Linotype" w:hAnsi="Palatino Linotype"/>
          <w:sz w:val="22"/>
          <w:szCs w:val="22"/>
          <w:lang w:val="en-US"/>
        </w:rPr>
      </w:pPr>
    </w:p>
    <w:p w:rsidR="0041049C" w:rsidRPr="00612443" w:rsidRDefault="0041049C" w:rsidP="0041049C">
      <w:pPr>
        <w:spacing w:before="60"/>
        <w:ind w:firstLine="360"/>
        <w:jc w:val="center"/>
        <w:rPr>
          <w:rFonts w:ascii="Palatino Linotype" w:hAnsi="Palatino Linotype"/>
          <w:sz w:val="22"/>
          <w:szCs w:val="22"/>
          <w:lang w:val="en-US"/>
        </w:rPr>
      </w:pPr>
      <m:oMath>
        <m:r>
          <w:rPr>
            <w:rFonts w:ascii="Cambria Math" w:hAnsi="Cambria Math"/>
            <w:sz w:val="22"/>
            <w:szCs w:val="22"/>
            <w:lang w:val="en-US"/>
          </w:rPr>
          <m:t>∆</m:t>
        </m:r>
        <m:sSubSup>
          <m:sSubSupPr>
            <m:ctrlPr>
              <w:rPr>
                <w:rFonts w:ascii="Cambria Math" w:hAnsi="Cambria Math"/>
                <w:i/>
                <w:sz w:val="22"/>
                <w:szCs w:val="22"/>
                <w:lang w:val="en-US"/>
              </w:rPr>
            </m:ctrlPr>
          </m:sSubSupPr>
          <m:e>
            <m:r>
              <w:rPr>
                <w:rFonts w:ascii="Cambria Math" w:hAnsi="Cambria Math"/>
                <w:sz w:val="22"/>
                <w:szCs w:val="22"/>
                <w:lang w:val="en-US"/>
              </w:rPr>
              <m:t>π</m:t>
            </m:r>
          </m:e>
          <m:sub>
            <m:r>
              <w:rPr>
                <w:rFonts w:ascii="Cambria Math" w:hAnsi="Cambria Math"/>
                <w:sz w:val="22"/>
                <w:szCs w:val="22"/>
                <w:lang w:val="en-US"/>
              </w:rPr>
              <m:t>t</m:t>
            </m:r>
          </m:sub>
          <m:sup>
            <m:r>
              <w:rPr>
                <w:rFonts w:ascii="Cambria Math" w:hAnsi="Cambria Math"/>
                <w:sz w:val="22"/>
                <w:szCs w:val="22"/>
                <w:lang w:val="en-US"/>
              </w:rPr>
              <m:t>e</m:t>
            </m:r>
          </m:sup>
        </m:sSubSup>
        <m:r>
          <w:rPr>
            <w:rFonts w:ascii="Cambria Math" w:hAnsi="Cambria Math"/>
            <w:sz w:val="22"/>
            <w:szCs w:val="22"/>
            <w:lang w:val="en-US"/>
          </w:rPr>
          <m:t>=c+ρ∆</m:t>
        </m:r>
        <m:sSubSup>
          <m:sSubSupPr>
            <m:ctrlPr>
              <w:rPr>
                <w:rFonts w:ascii="Cambria Math" w:hAnsi="Cambria Math"/>
                <w:i/>
                <w:sz w:val="22"/>
                <w:szCs w:val="22"/>
                <w:lang w:val="en-US"/>
              </w:rPr>
            </m:ctrlPr>
          </m:sSubSupPr>
          <m:e>
            <m:r>
              <w:rPr>
                <w:rFonts w:ascii="Cambria Math" w:hAnsi="Cambria Math"/>
                <w:sz w:val="22"/>
                <w:szCs w:val="22"/>
                <w:lang w:val="en-US"/>
              </w:rPr>
              <m:t>π</m:t>
            </m:r>
          </m:e>
          <m:sub>
            <m:r>
              <w:rPr>
                <w:rFonts w:ascii="Cambria Math" w:hAnsi="Cambria Math"/>
                <w:sz w:val="22"/>
                <w:szCs w:val="22"/>
                <w:lang w:val="en-US"/>
              </w:rPr>
              <m:t>t-1</m:t>
            </m:r>
          </m:sub>
          <m:sup>
            <m:r>
              <w:rPr>
                <w:rFonts w:ascii="Cambria Math" w:hAnsi="Cambria Math"/>
                <w:sz w:val="22"/>
                <w:szCs w:val="22"/>
                <w:lang w:val="en-US"/>
              </w:rPr>
              <m:t>e</m:t>
            </m:r>
          </m:sup>
        </m:sSubSup>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sSubSup>
          <m:sSubSupPr>
            <m:ctrlPr>
              <w:rPr>
                <w:rFonts w:ascii="Cambria Math" w:hAnsi="Cambria Math"/>
                <w:i/>
                <w:sz w:val="22"/>
                <w:szCs w:val="22"/>
                <w:lang w:val="en-US"/>
              </w:rPr>
            </m:ctrlPr>
          </m:sSubSupPr>
          <m:e>
            <m:r>
              <w:rPr>
                <w:rFonts w:ascii="Cambria Math" w:hAnsi="Cambria Math"/>
                <w:sz w:val="22"/>
                <w:szCs w:val="22"/>
                <w:lang w:val="en-US"/>
              </w:rPr>
              <m:t>I</m:t>
            </m:r>
          </m:e>
          <m:sub>
            <m:r>
              <w:rPr>
                <w:rFonts w:ascii="Cambria Math" w:hAnsi="Cambria Math"/>
                <w:sz w:val="22"/>
                <w:szCs w:val="22"/>
                <w:lang w:val="en-US"/>
              </w:rPr>
              <m:t>t-1</m:t>
            </m:r>
          </m:sub>
          <m:sup>
            <m:r>
              <w:rPr>
                <w:rFonts w:ascii="Cambria Math" w:hAnsi="Cambria Math"/>
                <w:sz w:val="22"/>
                <w:szCs w:val="22"/>
                <w:lang w:val="en-US"/>
              </w:rPr>
              <m:t>2008</m:t>
            </m:r>
          </m:sup>
        </m:sSubSup>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sSubSup>
          <m:sSubSupPr>
            <m:ctrlPr>
              <w:rPr>
                <w:rFonts w:ascii="Cambria Math" w:hAnsi="Cambria Math"/>
                <w:i/>
                <w:sz w:val="22"/>
                <w:szCs w:val="22"/>
                <w:lang w:val="en-US"/>
              </w:rPr>
            </m:ctrlPr>
          </m:sSubSupPr>
          <m:e>
            <m:r>
              <w:rPr>
                <w:rFonts w:ascii="Cambria Math" w:hAnsi="Cambria Math"/>
                <w:sz w:val="22"/>
                <w:szCs w:val="22"/>
                <w:lang w:val="en-US"/>
              </w:rPr>
              <m:t>I</m:t>
            </m:r>
          </m:e>
          <m:sub>
            <m:r>
              <w:rPr>
                <w:rFonts w:ascii="Cambria Math" w:hAnsi="Cambria Math"/>
                <w:sz w:val="22"/>
                <w:szCs w:val="22"/>
                <w:lang w:val="en-US"/>
              </w:rPr>
              <m:t>t-1</m:t>
            </m:r>
          </m:sub>
          <m:sup>
            <m:r>
              <w:rPr>
                <w:rFonts w:ascii="Cambria Math" w:hAnsi="Cambria Math"/>
                <w:sz w:val="22"/>
                <w:szCs w:val="22"/>
                <w:lang w:val="en-US"/>
              </w:rPr>
              <m:t>2011</m:t>
            </m:r>
          </m:sup>
        </m:sSubSup>
        <m:r>
          <w:rPr>
            <w:rFonts w:ascii="Cambria Math" w:hAnsi="Cambria Math"/>
            <w:sz w:val="22"/>
            <w:szCs w:val="22"/>
            <w:lang w:val="en-US"/>
          </w:rPr>
          <m:t>+γ</m:t>
        </m:r>
        <m:sSub>
          <m:sSubPr>
            <m:ctrlPr>
              <w:rPr>
                <w:rFonts w:ascii="Cambria Math" w:hAnsi="Cambria Math"/>
                <w:i/>
                <w:sz w:val="22"/>
                <w:szCs w:val="22"/>
                <w:lang w:val="en-US"/>
              </w:rPr>
            </m:ctrlPr>
          </m:sSubPr>
          <m:e>
            <m:r>
              <w:rPr>
                <w:rFonts w:ascii="Cambria Math" w:hAnsi="Cambria Math"/>
                <w:sz w:val="22"/>
                <w:szCs w:val="22"/>
                <w:lang w:val="en-US"/>
              </w:rPr>
              <m:t>A</m:t>
            </m:r>
          </m:e>
          <m:sub>
            <m:r>
              <w:rPr>
                <w:rFonts w:ascii="Cambria Math" w:hAnsi="Cambria Math"/>
                <w:sz w:val="22"/>
                <w:szCs w:val="22"/>
                <w:lang w:val="en-US"/>
              </w:rPr>
              <m:t>t-1</m:t>
            </m:r>
          </m:sub>
        </m:sSub>
        <m:r>
          <w:rPr>
            <w:rFonts w:ascii="Cambria Math" w:hAnsi="Cambria Math"/>
            <w:sz w:val="22"/>
            <w:szCs w:val="22"/>
            <w:lang w:val="en-US"/>
          </w:rPr>
          <m:t>+δ</m:t>
        </m:r>
        <m:sSub>
          <m:sSubPr>
            <m:ctrlPr>
              <w:rPr>
                <w:rFonts w:ascii="Cambria Math" w:hAnsi="Cambria Math"/>
                <w:i/>
                <w:sz w:val="22"/>
                <w:szCs w:val="22"/>
                <w:lang w:val="en-US"/>
              </w:rPr>
            </m:ctrlPr>
          </m:sSubPr>
          <m:e>
            <m:r>
              <w:rPr>
                <w:rFonts w:ascii="Cambria Math" w:hAnsi="Cambria Math"/>
                <w:sz w:val="22"/>
                <w:szCs w:val="22"/>
                <w:lang w:val="en-US"/>
              </w:rPr>
              <m:t>∆π</m:t>
            </m:r>
          </m:e>
          <m:sub>
            <m:r>
              <w:rPr>
                <w:rFonts w:ascii="Cambria Math" w:hAnsi="Cambria Math"/>
                <w:sz w:val="22"/>
                <w:szCs w:val="22"/>
                <w:lang w:val="en-US"/>
              </w:rPr>
              <m:t>t-1</m:t>
            </m:r>
          </m:sub>
        </m:sSub>
        <m:r>
          <w:rPr>
            <w:rFonts w:ascii="Cambria Math" w:hAnsi="Cambria Math"/>
            <w:sz w:val="22"/>
            <w:szCs w:val="22"/>
            <w:lang w:val="en-US"/>
          </w:rPr>
          <m:t>+α</m:t>
        </m:r>
        <m:sSub>
          <m:sSubPr>
            <m:ctrlPr>
              <w:rPr>
                <w:rFonts w:ascii="Cambria Math" w:hAnsi="Cambria Math"/>
                <w:i/>
                <w:sz w:val="22"/>
                <w:szCs w:val="22"/>
                <w:lang w:val="en-US"/>
              </w:rPr>
            </m:ctrlPr>
          </m:sSubPr>
          <m:e>
            <m:r>
              <w:rPr>
                <w:rFonts w:ascii="Cambria Math" w:hAnsi="Cambria Math"/>
                <w:sz w:val="22"/>
                <w:szCs w:val="22"/>
                <w:lang w:val="en-US"/>
              </w:rPr>
              <m:t>rr</m:t>
            </m:r>
          </m:e>
          <m:sub>
            <m:r>
              <w:rPr>
                <w:rFonts w:ascii="Cambria Math" w:hAnsi="Cambria Math"/>
                <w:sz w:val="22"/>
                <w:szCs w:val="22"/>
                <w:lang w:val="en-US"/>
              </w:rPr>
              <m:t>t-1</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u</m:t>
            </m:r>
          </m:e>
          <m:sub>
            <m:r>
              <w:rPr>
                <w:rFonts w:ascii="Cambria Math" w:hAnsi="Cambria Math"/>
                <w:sz w:val="22"/>
                <w:szCs w:val="22"/>
                <w:lang w:val="en-US"/>
              </w:rPr>
              <m:t>t</m:t>
            </m:r>
          </m:sub>
        </m:sSub>
        <m:r>
          <w:rPr>
            <w:rFonts w:ascii="Cambria Math" w:hAnsi="Cambria Math"/>
            <w:sz w:val="22"/>
            <w:szCs w:val="22"/>
            <w:lang w:val="en-US"/>
          </w:rPr>
          <m:t>-θ</m:t>
        </m:r>
        <m:sSub>
          <m:sSubPr>
            <m:ctrlPr>
              <w:rPr>
                <w:rFonts w:ascii="Cambria Math" w:hAnsi="Cambria Math"/>
                <w:i/>
                <w:sz w:val="22"/>
                <w:szCs w:val="22"/>
                <w:lang w:val="en-US"/>
              </w:rPr>
            </m:ctrlPr>
          </m:sSubPr>
          <m:e>
            <m:r>
              <w:rPr>
                <w:rFonts w:ascii="Cambria Math" w:hAnsi="Cambria Math"/>
                <w:sz w:val="22"/>
                <w:szCs w:val="22"/>
                <w:lang w:val="en-US"/>
              </w:rPr>
              <m:t>u</m:t>
            </m:r>
          </m:e>
          <m:sub>
            <m:r>
              <w:rPr>
                <w:rFonts w:ascii="Cambria Math" w:hAnsi="Cambria Math"/>
                <w:sz w:val="22"/>
                <w:szCs w:val="22"/>
                <w:lang w:val="en-US"/>
              </w:rPr>
              <m:t>t-1</m:t>
            </m:r>
          </m:sub>
        </m:sSub>
      </m:oMath>
      <w:r w:rsidRPr="00612443">
        <w:rPr>
          <w:rFonts w:ascii="Palatino Linotype" w:hAnsi="Palatino Linotype"/>
          <w:sz w:val="22"/>
          <w:szCs w:val="22"/>
          <w:lang w:val="en-US"/>
        </w:rPr>
        <w:t xml:space="preserve">    (</w:t>
      </w:r>
      <w:r w:rsidR="00612D21">
        <w:rPr>
          <w:rFonts w:ascii="Palatino Linotype" w:hAnsi="Palatino Linotype"/>
          <w:sz w:val="22"/>
          <w:szCs w:val="22"/>
          <w:lang w:val="en-US"/>
        </w:rPr>
        <w:t>2</w:t>
      </w:r>
      <w:r w:rsidRPr="00612443">
        <w:rPr>
          <w:rFonts w:ascii="Palatino Linotype" w:hAnsi="Palatino Linotype"/>
          <w:sz w:val="22"/>
          <w:szCs w:val="22"/>
          <w:lang w:val="en-US"/>
        </w:rPr>
        <w:t>)</w:t>
      </w:r>
    </w:p>
    <w:p w:rsidR="0041049C" w:rsidRPr="00612443" w:rsidRDefault="0041049C" w:rsidP="0041049C">
      <w:pPr>
        <w:spacing w:before="60"/>
        <w:ind w:firstLine="360"/>
        <w:rPr>
          <w:rFonts w:ascii="Palatino Linotype" w:hAnsi="Palatino Linotype"/>
          <w:sz w:val="22"/>
          <w:szCs w:val="22"/>
          <w:lang w:val="en-US"/>
        </w:rPr>
      </w:pPr>
    </w:p>
    <w:p w:rsidR="0041049C" w:rsidRPr="00612443" w:rsidRDefault="0041049C" w:rsidP="0041049C">
      <w:pPr>
        <w:spacing w:before="60"/>
        <w:ind w:firstLine="360"/>
        <w:rPr>
          <w:rFonts w:ascii="Palatino Linotype" w:hAnsi="Palatino Linotype"/>
          <w:sz w:val="22"/>
          <w:szCs w:val="22"/>
          <w:lang w:val="en-US"/>
        </w:rPr>
      </w:pPr>
      <w:r w:rsidRPr="00612443">
        <w:rPr>
          <w:rFonts w:ascii="Palatino Linotype" w:hAnsi="Palatino Linotype"/>
          <w:sz w:val="22"/>
          <w:szCs w:val="22"/>
          <w:lang w:val="en-US"/>
        </w:rPr>
        <w:t>Where</w:t>
      </w:r>
    </w:p>
    <w:p w:rsidR="0041049C" w:rsidRPr="00612443" w:rsidRDefault="0041049C" w:rsidP="0041049C">
      <w:pPr>
        <w:spacing w:before="60"/>
        <w:ind w:firstLine="360"/>
        <w:rPr>
          <w:rFonts w:ascii="Palatino Linotype" w:hAnsi="Palatino Linotype"/>
          <w:sz w:val="22"/>
          <w:szCs w:val="22"/>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088"/>
      </w:tblGrid>
      <w:tr w:rsidR="0041049C" w:rsidRPr="00612443" w:rsidTr="00C943B8">
        <w:tc>
          <w:tcPr>
            <w:tcW w:w="1268" w:type="dxa"/>
            <w:vAlign w:val="center"/>
          </w:tcPr>
          <w:p w:rsidR="0041049C" w:rsidRPr="00612443" w:rsidRDefault="0041049C" w:rsidP="00C943B8">
            <w:pPr>
              <w:jc w:val="right"/>
              <w:rPr>
                <w:rFonts w:ascii="Palatino Linotype" w:hAnsi="Palatino Linotype"/>
                <w:sz w:val="22"/>
                <w:szCs w:val="22"/>
                <w:lang w:val="en-US"/>
              </w:rPr>
            </w:pPr>
            <m:oMath>
              <m:sSubSup>
                <m:sSubSupPr>
                  <m:ctrlPr>
                    <w:rPr>
                      <w:rFonts w:ascii="Cambria Math" w:hAnsi="Cambria Math"/>
                      <w:i/>
                      <w:sz w:val="22"/>
                      <w:szCs w:val="22"/>
                      <w:lang w:val="en-US"/>
                    </w:rPr>
                  </m:ctrlPr>
                </m:sSubSupPr>
                <m:e>
                  <m:r>
                    <w:rPr>
                      <w:rFonts w:ascii="Cambria Math" w:hAnsi="Cambria Math"/>
                      <w:sz w:val="22"/>
                      <w:szCs w:val="22"/>
                      <w:lang w:val="en-US"/>
                    </w:rPr>
                    <m:t>π</m:t>
                  </m:r>
                </m:e>
                <m:sub>
                  <m:r>
                    <w:rPr>
                      <w:rFonts w:ascii="Cambria Math" w:hAnsi="Cambria Math"/>
                      <w:sz w:val="22"/>
                      <w:szCs w:val="22"/>
                      <w:lang w:val="en-US"/>
                    </w:rPr>
                    <m:t>t</m:t>
                  </m:r>
                </m:sub>
                <m:sup>
                  <m:r>
                    <w:rPr>
                      <w:rFonts w:ascii="Cambria Math" w:hAnsi="Cambria Math"/>
                      <w:sz w:val="22"/>
                      <w:szCs w:val="22"/>
                      <w:lang w:val="en-US"/>
                    </w:rPr>
                    <m:t>e</m:t>
                  </m:r>
                </m:sup>
              </m:sSubSup>
            </m:oMath>
            <w:r w:rsidRPr="00612443">
              <w:rPr>
                <w:rFonts w:ascii="Palatino Linotype" w:hAnsi="Palatino Linotype"/>
                <w:sz w:val="22"/>
                <w:szCs w:val="22"/>
                <w:lang w:val="en-US"/>
              </w:rPr>
              <w:t>:</w:t>
            </w:r>
          </w:p>
        </w:tc>
        <w:tc>
          <w:tcPr>
            <w:tcW w:w="7088" w:type="dxa"/>
            <w:vAlign w:val="center"/>
          </w:tcPr>
          <w:p w:rsidR="0041049C" w:rsidRPr="00612443" w:rsidRDefault="0041049C" w:rsidP="00C943B8">
            <w:pPr>
              <w:jc w:val="left"/>
              <w:rPr>
                <w:rFonts w:ascii="Palatino Linotype" w:hAnsi="Palatino Linotype"/>
                <w:sz w:val="22"/>
                <w:szCs w:val="22"/>
                <w:lang w:val="en-US"/>
              </w:rPr>
            </w:pPr>
            <w:r w:rsidRPr="00612443">
              <w:rPr>
                <w:rFonts w:ascii="Palatino Linotype" w:hAnsi="Palatino Linotype"/>
                <w:sz w:val="22"/>
                <w:szCs w:val="22"/>
                <w:lang w:val="en-US"/>
              </w:rPr>
              <w:t xml:space="preserve">Daily break-even inflation rate at day </w:t>
            </w:r>
            <w:r w:rsidRPr="00612443">
              <w:rPr>
                <w:rFonts w:ascii="Palatino Linotype" w:hAnsi="Palatino Linotype"/>
                <w:i/>
                <w:iCs/>
                <w:sz w:val="22"/>
                <w:szCs w:val="22"/>
                <w:lang w:val="en-US"/>
              </w:rPr>
              <w:t>t</w:t>
            </w:r>
          </w:p>
        </w:tc>
      </w:tr>
      <w:tr w:rsidR="0041049C" w:rsidRPr="00612443" w:rsidTr="00C943B8">
        <w:tc>
          <w:tcPr>
            <w:tcW w:w="1268" w:type="dxa"/>
            <w:vAlign w:val="center"/>
          </w:tcPr>
          <w:p w:rsidR="0041049C" w:rsidRPr="00612443" w:rsidRDefault="0041049C" w:rsidP="00C943B8">
            <w:pPr>
              <w:jc w:val="right"/>
              <w:rPr>
                <w:rFonts w:ascii="Palatino Linotype" w:hAnsi="Palatino Linotype"/>
                <w:sz w:val="22"/>
                <w:szCs w:val="22"/>
                <w:lang w:val="en-US"/>
              </w:rPr>
            </w:pPr>
            <m:oMath>
              <m:sSubSup>
                <m:sSubSupPr>
                  <m:ctrlPr>
                    <w:rPr>
                      <w:rFonts w:ascii="Cambria Math" w:hAnsi="Cambria Math"/>
                      <w:i/>
                      <w:sz w:val="22"/>
                      <w:szCs w:val="22"/>
                      <w:lang w:val="en-US"/>
                    </w:rPr>
                  </m:ctrlPr>
                </m:sSubSupPr>
                <m:e>
                  <m:r>
                    <w:rPr>
                      <w:rFonts w:ascii="Cambria Math" w:hAnsi="Cambria Math"/>
                      <w:sz w:val="22"/>
                      <w:szCs w:val="22"/>
                      <w:lang w:val="en-US"/>
                    </w:rPr>
                    <m:t>I</m:t>
                  </m:r>
                </m:e>
                <m:sub>
                  <m:r>
                    <w:rPr>
                      <w:rFonts w:ascii="Cambria Math" w:hAnsi="Cambria Math"/>
                      <w:sz w:val="22"/>
                      <w:szCs w:val="22"/>
                      <w:lang w:val="en-US"/>
                    </w:rPr>
                    <m:t>t</m:t>
                  </m:r>
                </m:sub>
                <m:sup>
                  <m:r>
                    <w:rPr>
                      <w:rFonts w:ascii="Cambria Math" w:hAnsi="Cambria Math"/>
                      <w:sz w:val="22"/>
                      <w:szCs w:val="22"/>
                      <w:lang w:val="en-US"/>
                    </w:rPr>
                    <m:t>2008</m:t>
                  </m:r>
                </m:sup>
              </m:sSubSup>
            </m:oMath>
            <w:r w:rsidRPr="00612443">
              <w:rPr>
                <w:rFonts w:ascii="Palatino Linotype" w:hAnsi="Palatino Linotype"/>
                <w:sz w:val="22"/>
                <w:szCs w:val="22"/>
                <w:lang w:val="en-US"/>
              </w:rPr>
              <w:t>:</w:t>
            </w:r>
          </w:p>
        </w:tc>
        <w:tc>
          <w:tcPr>
            <w:tcW w:w="7088" w:type="dxa"/>
            <w:vAlign w:val="center"/>
          </w:tcPr>
          <w:p w:rsidR="0041049C" w:rsidRPr="00612443" w:rsidRDefault="0041049C" w:rsidP="00C943B8">
            <w:pPr>
              <w:jc w:val="left"/>
              <w:rPr>
                <w:rFonts w:ascii="Palatino Linotype" w:hAnsi="Palatino Linotype"/>
                <w:sz w:val="22"/>
                <w:szCs w:val="22"/>
                <w:lang w:val="en-US"/>
              </w:rPr>
            </w:pPr>
            <w:r w:rsidRPr="00612443">
              <w:rPr>
                <w:rFonts w:ascii="Palatino Linotype" w:hAnsi="Palatino Linotype"/>
                <w:sz w:val="22"/>
                <w:szCs w:val="22"/>
                <w:lang w:val="en-US"/>
              </w:rPr>
              <w:t>Daily interventions during the 2008 program in millions of US dollars</w:t>
            </w:r>
          </w:p>
        </w:tc>
      </w:tr>
      <w:tr w:rsidR="0041049C" w:rsidRPr="00612443" w:rsidTr="00C943B8">
        <w:tc>
          <w:tcPr>
            <w:tcW w:w="1268" w:type="dxa"/>
            <w:vAlign w:val="center"/>
          </w:tcPr>
          <w:p w:rsidR="0041049C" w:rsidRPr="00612443" w:rsidRDefault="0041049C" w:rsidP="00C943B8">
            <w:pPr>
              <w:jc w:val="right"/>
              <w:rPr>
                <w:rFonts w:ascii="Palatino Linotype" w:hAnsi="Palatino Linotype"/>
                <w:sz w:val="22"/>
                <w:szCs w:val="22"/>
                <w:lang w:val="en-US"/>
              </w:rPr>
            </w:pPr>
            <m:oMath>
              <m:sSubSup>
                <m:sSubSupPr>
                  <m:ctrlPr>
                    <w:rPr>
                      <w:rFonts w:ascii="Cambria Math" w:hAnsi="Cambria Math"/>
                      <w:i/>
                      <w:sz w:val="22"/>
                      <w:szCs w:val="22"/>
                      <w:lang w:val="en-US"/>
                    </w:rPr>
                  </m:ctrlPr>
                </m:sSubSupPr>
                <m:e>
                  <m:r>
                    <w:rPr>
                      <w:rFonts w:ascii="Cambria Math" w:hAnsi="Cambria Math"/>
                      <w:sz w:val="22"/>
                      <w:szCs w:val="22"/>
                      <w:lang w:val="en-US"/>
                    </w:rPr>
                    <m:t>I</m:t>
                  </m:r>
                </m:e>
                <m:sub>
                  <m:r>
                    <w:rPr>
                      <w:rFonts w:ascii="Cambria Math" w:hAnsi="Cambria Math"/>
                      <w:sz w:val="22"/>
                      <w:szCs w:val="22"/>
                      <w:lang w:val="en-US"/>
                    </w:rPr>
                    <m:t>t</m:t>
                  </m:r>
                </m:sub>
                <m:sup>
                  <m:r>
                    <w:rPr>
                      <w:rFonts w:ascii="Cambria Math" w:hAnsi="Cambria Math"/>
                      <w:sz w:val="22"/>
                      <w:szCs w:val="22"/>
                      <w:lang w:val="en-US"/>
                    </w:rPr>
                    <m:t>2011</m:t>
                  </m:r>
                </m:sup>
              </m:sSubSup>
            </m:oMath>
            <w:r w:rsidRPr="00612443">
              <w:rPr>
                <w:rFonts w:ascii="Palatino Linotype" w:hAnsi="Palatino Linotype"/>
                <w:sz w:val="22"/>
                <w:szCs w:val="22"/>
                <w:lang w:val="en-US"/>
              </w:rPr>
              <w:t>:</w:t>
            </w:r>
          </w:p>
        </w:tc>
        <w:tc>
          <w:tcPr>
            <w:tcW w:w="7088" w:type="dxa"/>
            <w:vAlign w:val="center"/>
          </w:tcPr>
          <w:p w:rsidR="0041049C" w:rsidRPr="00612443" w:rsidRDefault="0041049C" w:rsidP="00C943B8">
            <w:pPr>
              <w:jc w:val="left"/>
              <w:rPr>
                <w:rFonts w:ascii="Palatino Linotype" w:hAnsi="Palatino Linotype"/>
                <w:sz w:val="22"/>
                <w:szCs w:val="22"/>
                <w:lang w:val="en-US"/>
              </w:rPr>
            </w:pPr>
            <w:r w:rsidRPr="00612443">
              <w:rPr>
                <w:rFonts w:ascii="Palatino Linotype" w:hAnsi="Palatino Linotype"/>
                <w:sz w:val="22"/>
                <w:szCs w:val="22"/>
                <w:lang w:val="en-US"/>
              </w:rPr>
              <w:t>Daily interventions during the 2011 program in millions of US dollars</w:t>
            </w:r>
          </w:p>
        </w:tc>
      </w:tr>
      <w:tr w:rsidR="0041049C" w:rsidRPr="00612443" w:rsidTr="00C943B8">
        <w:tc>
          <w:tcPr>
            <w:tcW w:w="1268" w:type="dxa"/>
            <w:vAlign w:val="center"/>
          </w:tcPr>
          <w:p w:rsidR="0041049C" w:rsidRPr="00612443" w:rsidRDefault="0041049C" w:rsidP="00C943B8">
            <w:pPr>
              <w:jc w:val="right"/>
              <w:rPr>
                <w:rFonts w:ascii="Palatino Linotype" w:hAnsi="Palatino Linotype"/>
                <w:sz w:val="22"/>
                <w:szCs w:val="22"/>
                <w:lang w:val="en-US"/>
              </w:rPr>
            </w:pPr>
            <m:oMath>
              <m:sSub>
                <m:sSubPr>
                  <m:ctrlPr>
                    <w:rPr>
                      <w:rFonts w:ascii="Cambria Math" w:hAnsi="Cambria Math"/>
                      <w:i/>
                      <w:sz w:val="22"/>
                      <w:szCs w:val="22"/>
                      <w:lang w:val="en-US"/>
                    </w:rPr>
                  </m:ctrlPr>
                </m:sSubPr>
                <m:e>
                  <m:r>
                    <w:rPr>
                      <w:rFonts w:ascii="Cambria Math" w:hAnsi="Cambria Math"/>
                      <w:sz w:val="22"/>
                      <w:szCs w:val="22"/>
                      <w:lang w:val="en-US"/>
                    </w:rPr>
                    <m:t>rr</m:t>
                  </m:r>
                </m:e>
                <m:sub>
                  <m:r>
                    <w:rPr>
                      <w:rFonts w:ascii="Cambria Math" w:hAnsi="Cambria Math"/>
                      <w:sz w:val="22"/>
                      <w:szCs w:val="22"/>
                      <w:lang w:val="en-US"/>
                    </w:rPr>
                    <m:t>t</m:t>
                  </m:r>
                </m:sub>
              </m:sSub>
            </m:oMath>
            <w:r w:rsidRPr="00612443">
              <w:rPr>
                <w:rFonts w:ascii="Palatino Linotype" w:hAnsi="Palatino Linotype"/>
                <w:sz w:val="22"/>
                <w:szCs w:val="22"/>
                <w:lang w:val="en-US"/>
              </w:rPr>
              <w:t>:</w:t>
            </w:r>
          </w:p>
        </w:tc>
        <w:tc>
          <w:tcPr>
            <w:tcW w:w="7088" w:type="dxa"/>
            <w:vAlign w:val="center"/>
          </w:tcPr>
          <w:p w:rsidR="0041049C" w:rsidRPr="00612443" w:rsidRDefault="0041049C" w:rsidP="00C943B8">
            <w:pPr>
              <w:jc w:val="left"/>
              <w:rPr>
                <w:rFonts w:ascii="Palatino Linotype" w:hAnsi="Palatino Linotype"/>
                <w:sz w:val="22"/>
                <w:szCs w:val="22"/>
                <w:lang w:val="en-US"/>
              </w:rPr>
            </w:pPr>
            <w:r w:rsidRPr="00612443">
              <w:rPr>
                <w:rFonts w:ascii="Palatino Linotype" w:hAnsi="Palatino Linotype"/>
                <w:sz w:val="22"/>
                <w:szCs w:val="22"/>
                <w:lang w:val="en-US"/>
              </w:rPr>
              <w:t>Residuals of the exchange rate return regression in (6)</w:t>
            </w:r>
          </w:p>
        </w:tc>
      </w:tr>
      <w:tr w:rsidR="0041049C" w:rsidRPr="00612443" w:rsidTr="00C943B8">
        <w:tc>
          <w:tcPr>
            <w:tcW w:w="1268" w:type="dxa"/>
            <w:vAlign w:val="center"/>
          </w:tcPr>
          <w:p w:rsidR="0041049C" w:rsidRPr="00612443" w:rsidRDefault="0041049C" w:rsidP="00C943B8">
            <w:pPr>
              <w:jc w:val="right"/>
              <w:rPr>
                <w:rFonts w:ascii="Palatino Linotype" w:hAnsi="Palatino Linotype"/>
                <w:sz w:val="22"/>
                <w:szCs w:val="22"/>
                <w:lang w:val="en-US"/>
              </w:rPr>
            </w:pPr>
            <m:oMath>
              <m:sSub>
                <m:sSubPr>
                  <m:ctrlPr>
                    <w:rPr>
                      <w:rFonts w:ascii="Cambria Math" w:hAnsi="Cambria Math"/>
                      <w:i/>
                      <w:sz w:val="22"/>
                      <w:szCs w:val="22"/>
                      <w:lang w:val="en-US"/>
                    </w:rPr>
                  </m:ctrlPr>
                </m:sSubPr>
                <m:e>
                  <m:r>
                    <w:rPr>
                      <w:rFonts w:ascii="Cambria Math" w:hAnsi="Cambria Math"/>
                      <w:sz w:val="22"/>
                      <w:szCs w:val="22"/>
                      <w:lang w:val="en-US"/>
                    </w:rPr>
                    <m:t>A</m:t>
                  </m:r>
                </m:e>
                <m:sub>
                  <m:r>
                    <w:rPr>
                      <w:rFonts w:ascii="Cambria Math" w:hAnsi="Cambria Math"/>
                      <w:sz w:val="22"/>
                      <w:szCs w:val="22"/>
                      <w:lang w:val="en-US"/>
                    </w:rPr>
                    <m:t>t</m:t>
                  </m:r>
                </m:sub>
              </m:sSub>
            </m:oMath>
            <w:r w:rsidRPr="00612443">
              <w:rPr>
                <w:rFonts w:ascii="Palatino Linotype" w:hAnsi="Palatino Linotype"/>
                <w:sz w:val="22"/>
                <w:szCs w:val="22"/>
                <w:lang w:val="en-US"/>
              </w:rPr>
              <w:t>:</w:t>
            </w:r>
          </w:p>
        </w:tc>
        <w:tc>
          <w:tcPr>
            <w:tcW w:w="7088" w:type="dxa"/>
            <w:vAlign w:val="center"/>
          </w:tcPr>
          <w:p w:rsidR="0041049C" w:rsidRPr="00612443" w:rsidRDefault="0041049C" w:rsidP="00C943B8">
            <w:pPr>
              <w:jc w:val="left"/>
              <w:rPr>
                <w:rFonts w:ascii="Palatino Linotype" w:hAnsi="Palatino Linotype"/>
                <w:sz w:val="22"/>
                <w:szCs w:val="22"/>
                <w:lang w:val="en-US"/>
              </w:rPr>
            </w:pPr>
            <w:r w:rsidRPr="00612443">
              <w:rPr>
                <w:rFonts w:ascii="Palatino Linotype" w:hAnsi="Palatino Linotype"/>
                <w:sz w:val="22"/>
                <w:szCs w:val="22"/>
                <w:lang w:val="en-US"/>
              </w:rPr>
              <w:t>Interventions announcements or interruptions in billions of dollars</w:t>
            </w:r>
          </w:p>
        </w:tc>
      </w:tr>
      <w:tr w:rsidR="0041049C" w:rsidRPr="00612443" w:rsidTr="00C943B8">
        <w:tc>
          <w:tcPr>
            <w:tcW w:w="1268" w:type="dxa"/>
            <w:vAlign w:val="center"/>
          </w:tcPr>
          <w:p w:rsidR="0041049C" w:rsidRPr="00612443" w:rsidRDefault="0041049C" w:rsidP="00C943B8">
            <w:pPr>
              <w:jc w:val="right"/>
              <w:rPr>
                <w:rFonts w:ascii="Palatino Linotype" w:hAnsi="Palatino Linotype"/>
                <w:sz w:val="22"/>
                <w:szCs w:val="22"/>
                <w:lang w:val="en-US"/>
              </w:rPr>
            </w:pPr>
            <m:oMath>
              <m:sSub>
                <m:sSubPr>
                  <m:ctrlPr>
                    <w:rPr>
                      <w:rFonts w:ascii="Cambria Math" w:hAnsi="Cambria Math"/>
                      <w:i/>
                      <w:sz w:val="22"/>
                      <w:szCs w:val="22"/>
                      <w:lang w:val="en-US"/>
                    </w:rPr>
                  </m:ctrlPr>
                </m:sSubPr>
                <m:e>
                  <m:r>
                    <w:rPr>
                      <w:rFonts w:ascii="Cambria Math" w:hAnsi="Cambria Math"/>
                      <w:sz w:val="22"/>
                      <w:szCs w:val="22"/>
                      <w:lang w:val="en-US"/>
                    </w:rPr>
                    <m:t>π</m:t>
                  </m:r>
                </m:e>
                <m:sub>
                  <m:r>
                    <w:rPr>
                      <w:rFonts w:ascii="Cambria Math" w:hAnsi="Cambria Math"/>
                      <w:sz w:val="22"/>
                      <w:szCs w:val="22"/>
                      <w:lang w:val="en-US"/>
                    </w:rPr>
                    <m:t>t</m:t>
                  </m:r>
                </m:sub>
              </m:sSub>
            </m:oMath>
            <w:r w:rsidRPr="00612443">
              <w:rPr>
                <w:rFonts w:ascii="Palatino Linotype" w:hAnsi="Palatino Linotype"/>
                <w:sz w:val="22"/>
                <w:szCs w:val="22"/>
                <w:lang w:val="en-US"/>
              </w:rPr>
              <w:t>:</w:t>
            </w:r>
          </w:p>
        </w:tc>
        <w:tc>
          <w:tcPr>
            <w:tcW w:w="7088" w:type="dxa"/>
            <w:vAlign w:val="center"/>
          </w:tcPr>
          <w:p w:rsidR="0041049C" w:rsidRPr="00612443" w:rsidRDefault="0041049C" w:rsidP="00C943B8">
            <w:pPr>
              <w:jc w:val="left"/>
              <w:rPr>
                <w:rFonts w:ascii="Palatino Linotype" w:hAnsi="Palatino Linotype"/>
                <w:sz w:val="22"/>
                <w:szCs w:val="22"/>
                <w:lang w:val="en-US"/>
              </w:rPr>
            </w:pPr>
            <w:r w:rsidRPr="00612443">
              <w:rPr>
                <w:rFonts w:ascii="Palatino Linotype" w:hAnsi="Palatino Linotype"/>
                <w:sz w:val="22"/>
                <w:szCs w:val="22"/>
                <w:lang w:val="en-US"/>
              </w:rPr>
              <w:t>Daily inflation rate at day t</w:t>
            </w:r>
          </w:p>
        </w:tc>
      </w:tr>
      <w:tr w:rsidR="0041049C" w:rsidRPr="00612443" w:rsidTr="00C943B8">
        <w:tc>
          <w:tcPr>
            <w:tcW w:w="1268" w:type="dxa"/>
            <w:vAlign w:val="center"/>
          </w:tcPr>
          <w:p w:rsidR="0041049C" w:rsidRPr="00612443" w:rsidRDefault="0041049C" w:rsidP="00C943B8">
            <w:pPr>
              <w:jc w:val="right"/>
              <w:rPr>
                <w:rFonts w:ascii="Palatino Linotype" w:hAnsi="Palatino Linotype"/>
                <w:sz w:val="22"/>
                <w:szCs w:val="22"/>
                <w:lang w:val="en-US"/>
              </w:rPr>
            </w:pPr>
            <m:oMath>
              <m:sSub>
                <m:sSubPr>
                  <m:ctrlPr>
                    <w:rPr>
                      <w:rFonts w:ascii="Cambria Math" w:hAnsi="Cambria Math"/>
                      <w:i/>
                      <w:sz w:val="22"/>
                      <w:szCs w:val="22"/>
                      <w:lang w:val="en-US"/>
                    </w:rPr>
                  </m:ctrlPr>
                </m:sSubPr>
                <m:e>
                  <m:r>
                    <w:rPr>
                      <w:rFonts w:ascii="Cambria Math" w:hAnsi="Cambria Math"/>
                      <w:sz w:val="22"/>
                      <w:szCs w:val="22"/>
                      <w:lang w:val="en-US"/>
                    </w:rPr>
                    <m:t>u</m:t>
                  </m:r>
                </m:e>
                <m:sub>
                  <m:r>
                    <w:rPr>
                      <w:rFonts w:ascii="Cambria Math" w:hAnsi="Cambria Math"/>
                      <w:sz w:val="22"/>
                      <w:szCs w:val="22"/>
                      <w:lang w:val="en-US"/>
                    </w:rPr>
                    <m:t>t</m:t>
                  </m:r>
                </m:sub>
              </m:sSub>
            </m:oMath>
            <w:r w:rsidRPr="00612443">
              <w:rPr>
                <w:rFonts w:ascii="Palatino Linotype" w:hAnsi="Palatino Linotype"/>
                <w:sz w:val="22"/>
                <w:szCs w:val="22"/>
                <w:lang w:val="en-US"/>
              </w:rPr>
              <w:t>:</w:t>
            </w:r>
          </w:p>
        </w:tc>
        <w:tc>
          <w:tcPr>
            <w:tcW w:w="7088" w:type="dxa"/>
            <w:vAlign w:val="center"/>
          </w:tcPr>
          <w:p w:rsidR="0041049C" w:rsidRPr="00612443" w:rsidRDefault="0041049C" w:rsidP="00C943B8">
            <w:pPr>
              <w:jc w:val="left"/>
              <w:rPr>
                <w:rFonts w:ascii="Palatino Linotype" w:hAnsi="Palatino Linotype"/>
                <w:sz w:val="22"/>
                <w:szCs w:val="22"/>
                <w:lang w:val="en-US"/>
              </w:rPr>
            </w:pPr>
            <w:r w:rsidRPr="00612443">
              <w:rPr>
                <w:rFonts w:ascii="Palatino Linotype" w:hAnsi="Palatino Linotype"/>
                <w:sz w:val="22"/>
                <w:szCs w:val="22"/>
                <w:lang w:val="en-US"/>
              </w:rPr>
              <w:t>Conditionally heteroskedastic white noise following a GARCH(1,1) process</w:t>
            </w:r>
          </w:p>
        </w:tc>
      </w:tr>
      <w:tr w:rsidR="0041049C" w:rsidRPr="00612443" w:rsidTr="00C943B8">
        <w:tc>
          <w:tcPr>
            <w:tcW w:w="1268" w:type="dxa"/>
            <w:vAlign w:val="center"/>
          </w:tcPr>
          <w:p w:rsidR="0041049C" w:rsidRPr="00612443" w:rsidRDefault="0041049C" w:rsidP="00C943B8">
            <w:pPr>
              <w:jc w:val="right"/>
              <w:rPr>
                <w:rFonts w:ascii="Palatino Linotype" w:hAnsi="Palatino Linotype"/>
                <w:sz w:val="22"/>
                <w:szCs w:val="22"/>
                <w:lang w:val="en-US"/>
              </w:rPr>
            </w:pPr>
            <m:oMath>
              <m:r>
                <w:rPr>
                  <w:rFonts w:ascii="Cambria Math" w:hAnsi="Cambria Math"/>
                  <w:sz w:val="22"/>
                  <w:szCs w:val="22"/>
                  <w:lang w:val="en-US"/>
                </w:rPr>
                <m:t>∆</m:t>
              </m:r>
            </m:oMath>
            <w:r w:rsidRPr="00612443">
              <w:rPr>
                <w:rFonts w:ascii="Palatino Linotype" w:hAnsi="Palatino Linotype"/>
                <w:sz w:val="22"/>
                <w:szCs w:val="22"/>
                <w:lang w:val="en-US"/>
              </w:rPr>
              <w:t>:</w:t>
            </w:r>
          </w:p>
        </w:tc>
        <w:tc>
          <w:tcPr>
            <w:tcW w:w="7088" w:type="dxa"/>
            <w:vAlign w:val="center"/>
          </w:tcPr>
          <w:p w:rsidR="0041049C" w:rsidRPr="00612443" w:rsidRDefault="0041049C" w:rsidP="00C943B8">
            <w:pPr>
              <w:jc w:val="left"/>
              <w:rPr>
                <w:rFonts w:ascii="Palatino Linotype" w:hAnsi="Palatino Linotype"/>
                <w:sz w:val="22"/>
                <w:szCs w:val="22"/>
                <w:lang w:val="en-US"/>
              </w:rPr>
            </w:pPr>
            <w:r w:rsidRPr="00612443">
              <w:rPr>
                <w:rFonts w:ascii="Palatino Linotype" w:hAnsi="Palatino Linotype"/>
                <w:sz w:val="22"/>
                <w:szCs w:val="22"/>
                <w:lang w:val="en-US"/>
              </w:rPr>
              <w:t>Differencing operator</w:t>
            </w:r>
          </w:p>
        </w:tc>
      </w:tr>
    </w:tbl>
    <w:p w:rsidR="0041049C" w:rsidRPr="00612443" w:rsidRDefault="0041049C" w:rsidP="0041049C">
      <w:pPr>
        <w:spacing w:before="60"/>
        <w:ind w:firstLine="360"/>
        <w:rPr>
          <w:rFonts w:ascii="Palatino Linotype" w:hAnsi="Palatino Linotype"/>
          <w:sz w:val="22"/>
          <w:szCs w:val="22"/>
          <w:lang w:val="en-US"/>
        </w:rPr>
      </w:pPr>
    </w:p>
    <w:p w:rsidR="0041049C" w:rsidRDefault="0041049C" w:rsidP="0041049C">
      <w:pPr>
        <w:rPr>
          <w:rFonts w:ascii="Palatino Linotype" w:hAnsi="Palatino Linotype"/>
          <w:sz w:val="22"/>
          <w:szCs w:val="22"/>
          <w:lang w:val="en-US"/>
        </w:rPr>
      </w:pPr>
      <w:r w:rsidRPr="00612443">
        <w:rPr>
          <w:rFonts w:ascii="Palatino Linotype" w:hAnsi="Palatino Linotype"/>
          <w:sz w:val="22"/>
          <w:szCs w:val="22"/>
          <w:lang w:val="en-US"/>
        </w:rPr>
        <w:t xml:space="preserve">Our maximum likelihood estimates are shown in Table </w:t>
      </w:r>
      <w:r w:rsidR="00087A7E">
        <w:rPr>
          <w:rFonts w:ascii="Palatino Linotype" w:hAnsi="Palatino Linotype"/>
          <w:sz w:val="22"/>
          <w:szCs w:val="22"/>
          <w:lang w:val="en-US"/>
        </w:rPr>
        <w:t>2</w:t>
      </w:r>
      <w:r w:rsidRPr="00612443">
        <w:rPr>
          <w:rFonts w:ascii="Palatino Linotype" w:hAnsi="Palatino Linotype"/>
          <w:sz w:val="22"/>
          <w:szCs w:val="22"/>
          <w:lang w:val="en-US"/>
        </w:rPr>
        <w:t xml:space="preserve"> for six different variations of the main specification (</w:t>
      </w:r>
      <w:r w:rsidR="00087A7E">
        <w:rPr>
          <w:rFonts w:ascii="Palatino Linotype" w:hAnsi="Palatino Linotype"/>
          <w:sz w:val="22"/>
          <w:szCs w:val="22"/>
          <w:lang w:val="en-US"/>
        </w:rPr>
        <w:t>2</w:t>
      </w:r>
      <w:r w:rsidRPr="00612443">
        <w:rPr>
          <w:rFonts w:ascii="Palatino Linotype" w:hAnsi="Palatino Linotype"/>
          <w:sz w:val="22"/>
          <w:szCs w:val="22"/>
          <w:lang w:val="en-US"/>
        </w:rPr>
        <w:t xml:space="preserve">). </w:t>
      </w:r>
    </w:p>
    <w:p w:rsidR="001D4AD7" w:rsidRPr="00612443" w:rsidRDefault="001D4AD7" w:rsidP="0041049C">
      <w:pPr>
        <w:rPr>
          <w:rFonts w:ascii="Palatino Linotype" w:hAnsi="Palatino Linotype"/>
          <w:sz w:val="22"/>
          <w:szCs w:val="22"/>
          <w:lang w:val="en-US"/>
        </w:rPr>
      </w:pPr>
    </w:p>
    <w:tbl>
      <w:tblPr>
        <w:tblW w:w="8944" w:type="dxa"/>
        <w:tblInd w:w="57" w:type="dxa"/>
        <w:tblCellMar>
          <w:left w:w="70" w:type="dxa"/>
          <w:right w:w="70" w:type="dxa"/>
        </w:tblCellMar>
        <w:tblLook w:val="04A0" w:firstRow="1" w:lastRow="0" w:firstColumn="1" w:lastColumn="0" w:noHBand="0" w:noVBand="1"/>
      </w:tblPr>
      <w:tblGrid>
        <w:gridCol w:w="1590"/>
        <w:gridCol w:w="1135"/>
        <w:gridCol w:w="1135"/>
        <w:gridCol w:w="1135"/>
        <w:gridCol w:w="1135"/>
        <w:gridCol w:w="1135"/>
        <w:gridCol w:w="1679"/>
      </w:tblGrid>
      <w:tr w:rsidR="0041049C" w:rsidRPr="00612443" w:rsidTr="001D4AD7">
        <w:trPr>
          <w:trHeight w:val="300"/>
        </w:trPr>
        <w:tc>
          <w:tcPr>
            <w:tcW w:w="8944" w:type="dxa"/>
            <w:gridSpan w:val="7"/>
            <w:tcBorders>
              <w:top w:val="nil"/>
              <w:left w:val="nil"/>
              <w:right w:val="nil"/>
            </w:tcBorders>
            <w:shd w:val="clear" w:color="auto" w:fill="auto"/>
            <w:noWrap/>
            <w:vAlign w:val="bottom"/>
            <w:hideMark/>
          </w:tcPr>
          <w:p w:rsidR="0041049C" w:rsidRPr="00612443" w:rsidRDefault="0041049C" w:rsidP="00087A7E">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 xml:space="preserve">Table </w:t>
            </w:r>
            <w:r w:rsidR="00087A7E">
              <w:rPr>
                <w:rFonts w:ascii="Palatino Linotype" w:eastAsia="Times New Roman" w:hAnsi="Palatino Linotype"/>
                <w:noProof w:val="0"/>
                <w:color w:val="000000"/>
                <w:lang w:val="en-US"/>
              </w:rPr>
              <w:t>2</w:t>
            </w:r>
            <w:r w:rsidRPr="00612443">
              <w:rPr>
                <w:rFonts w:ascii="Palatino Linotype" w:eastAsia="Times New Roman" w:hAnsi="Palatino Linotype"/>
                <w:noProof w:val="0"/>
                <w:color w:val="000000"/>
                <w:lang w:val="en-US"/>
              </w:rPr>
              <w:t xml:space="preserve">: The impact of exchange rate interventions announcements </w:t>
            </w:r>
          </w:p>
        </w:tc>
      </w:tr>
      <w:tr w:rsidR="0041049C" w:rsidRPr="00612443" w:rsidTr="001D4AD7">
        <w:trPr>
          <w:trHeight w:val="300"/>
        </w:trPr>
        <w:tc>
          <w:tcPr>
            <w:tcW w:w="8944" w:type="dxa"/>
            <w:gridSpan w:val="7"/>
            <w:tcBorders>
              <w:top w:val="nil"/>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on break-even inflation rate</w:t>
            </w:r>
            <w:r w:rsidRPr="00612443">
              <w:rPr>
                <w:rStyle w:val="Refdenotaalpie"/>
                <w:rFonts w:ascii="Palatino Linotype" w:hAnsi="Palatino Linotype"/>
                <w:sz w:val="22"/>
                <w:szCs w:val="22"/>
                <w:lang w:val="en-US"/>
              </w:rPr>
              <w:footnoteReference w:id="13"/>
            </w:r>
          </w:p>
        </w:tc>
      </w:tr>
      <w:tr w:rsidR="0041049C" w:rsidRPr="00612443" w:rsidTr="001D4AD7">
        <w:trPr>
          <w:trHeight w:val="300"/>
        </w:trPr>
        <w:tc>
          <w:tcPr>
            <w:tcW w:w="1590" w:type="dxa"/>
            <w:tcBorders>
              <w:top w:val="double" w:sz="4" w:space="0" w:color="auto"/>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double" w:sz="4" w:space="0" w:color="auto"/>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w:t>
            </w:r>
          </w:p>
        </w:tc>
        <w:tc>
          <w:tcPr>
            <w:tcW w:w="1135" w:type="dxa"/>
            <w:tcBorders>
              <w:top w:val="double" w:sz="4" w:space="0" w:color="auto"/>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w:t>
            </w:r>
          </w:p>
        </w:tc>
        <w:tc>
          <w:tcPr>
            <w:tcW w:w="1135" w:type="dxa"/>
            <w:tcBorders>
              <w:top w:val="double" w:sz="4" w:space="0" w:color="auto"/>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(3)</w:t>
            </w:r>
          </w:p>
        </w:tc>
        <w:tc>
          <w:tcPr>
            <w:tcW w:w="1135" w:type="dxa"/>
            <w:tcBorders>
              <w:top w:val="double" w:sz="4" w:space="0" w:color="auto"/>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(4)</w:t>
            </w:r>
          </w:p>
        </w:tc>
        <w:tc>
          <w:tcPr>
            <w:tcW w:w="1135" w:type="dxa"/>
            <w:tcBorders>
              <w:top w:val="double" w:sz="4" w:space="0" w:color="auto"/>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(5)</w:t>
            </w:r>
          </w:p>
        </w:tc>
        <w:tc>
          <w:tcPr>
            <w:tcW w:w="1679" w:type="dxa"/>
            <w:tcBorders>
              <w:top w:val="double" w:sz="4" w:space="0" w:color="auto"/>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(6)</w:t>
            </w:r>
          </w:p>
        </w:tc>
      </w:tr>
      <w:tr w:rsidR="0041049C" w:rsidRPr="00612443" w:rsidTr="001D4AD7">
        <w:trPr>
          <w:trHeight w:val="300"/>
        </w:trPr>
        <w:tc>
          <w:tcPr>
            <w:tcW w:w="1590" w:type="dxa"/>
            <w:tcBorders>
              <w:top w:val="single" w:sz="4" w:space="0" w:color="auto"/>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Variable</w:t>
            </w:r>
          </w:p>
        </w:tc>
        <w:tc>
          <w:tcPr>
            <w:tcW w:w="1135" w:type="dxa"/>
            <w:tcBorders>
              <w:top w:val="single" w:sz="4" w:space="0" w:color="auto"/>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r>
                  <w:rPr>
                    <w:rFonts w:ascii="Cambria Math" w:hAnsi="Cambria Math"/>
                    <w:sz w:val="22"/>
                    <w:szCs w:val="22"/>
                    <w:lang w:val="en-US"/>
                  </w:rPr>
                  <m:t>∆</m:t>
                </m:r>
                <m:sSubSup>
                  <m:sSubSupPr>
                    <m:ctrlPr>
                      <w:rPr>
                        <w:rFonts w:ascii="Cambria Math" w:hAnsi="Cambria Math"/>
                        <w:i/>
                        <w:sz w:val="22"/>
                        <w:szCs w:val="22"/>
                        <w:lang w:val="en-US"/>
                      </w:rPr>
                    </m:ctrlPr>
                  </m:sSubSupPr>
                  <m:e>
                    <m:r>
                      <w:rPr>
                        <w:rFonts w:ascii="Cambria Math" w:hAnsi="Cambria Math"/>
                        <w:sz w:val="22"/>
                        <w:szCs w:val="22"/>
                        <w:lang w:val="en-US"/>
                      </w:rPr>
                      <m:t>π</m:t>
                    </m:r>
                  </m:e>
                  <m:sub>
                    <m:r>
                      <w:rPr>
                        <w:rFonts w:ascii="Cambria Math" w:hAnsi="Cambria Math"/>
                        <w:sz w:val="22"/>
                        <w:szCs w:val="22"/>
                        <w:lang w:val="en-US"/>
                      </w:rPr>
                      <m:t>t</m:t>
                    </m:r>
                  </m:sub>
                  <m:sup>
                    <m:r>
                      <w:rPr>
                        <w:rFonts w:ascii="Cambria Math" w:hAnsi="Cambria Math"/>
                        <w:sz w:val="22"/>
                        <w:szCs w:val="22"/>
                        <w:lang w:val="en-US"/>
                      </w:rPr>
                      <m:t>e</m:t>
                    </m:r>
                  </m:sup>
                </m:sSubSup>
              </m:oMath>
            </m:oMathPara>
          </w:p>
        </w:tc>
        <w:tc>
          <w:tcPr>
            <w:tcW w:w="1135" w:type="dxa"/>
            <w:tcBorders>
              <w:top w:val="single" w:sz="4" w:space="0" w:color="auto"/>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r>
                  <w:rPr>
                    <w:rFonts w:ascii="Cambria Math" w:hAnsi="Cambria Math"/>
                    <w:sz w:val="22"/>
                    <w:szCs w:val="22"/>
                    <w:lang w:val="en-US"/>
                  </w:rPr>
                  <m:t>∆</m:t>
                </m:r>
                <m:sSubSup>
                  <m:sSubSupPr>
                    <m:ctrlPr>
                      <w:rPr>
                        <w:rFonts w:ascii="Cambria Math" w:hAnsi="Cambria Math"/>
                        <w:i/>
                        <w:sz w:val="22"/>
                        <w:szCs w:val="22"/>
                        <w:lang w:val="en-US"/>
                      </w:rPr>
                    </m:ctrlPr>
                  </m:sSubSupPr>
                  <m:e>
                    <m:r>
                      <w:rPr>
                        <w:rFonts w:ascii="Cambria Math" w:hAnsi="Cambria Math"/>
                        <w:sz w:val="22"/>
                        <w:szCs w:val="22"/>
                        <w:lang w:val="en-US"/>
                      </w:rPr>
                      <m:t>π</m:t>
                    </m:r>
                  </m:e>
                  <m:sub>
                    <m:r>
                      <w:rPr>
                        <w:rFonts w:ascii="Cambria Math" w:hAnsi="Cambria Math"/>
                        <w:sz w:val="22"/>
                        <w:szCs w:val="22"/>
                        <w:lang w:val="en-US"/>
                      </w:rPr>
                      <m:t>t</m:t>
                    </m:r>
                  </m:sub>
                  <m:sup>
                    <m:r>
                      <w:rPr>
                        <w:rFonts w:ascii="Cambria Math" w:hAnsi="Cambria Math"/>
                        <w:sz w:val="22"/>
                        <w:szCs w:val="22"/>
                        <w:lang w:val="en-US"/>
                      </w:rPr>
                      <m:t>e</m:t>
                    </m:r>
                  </m:sup>
                </m:sSubSup>
              </m:oMath>
            </m:oMathPara>
          </w:p>
        </w:tc>
        <w:tc>
          <w:tcPr>
            <w:tcW w:w="1135" w:type="dxa"/>
            <w:tcBorders>
              <w:top w:val="single" w:sz="4" w:space="0" w:color="auto"/>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r>
                  <w:rPr>
                    <w:rFonts w:ascii="Cambria Math" w:hAnsi="Cambria Math"/>
                    <w:sz w:val="22"/>
                    <w:szCs w:val="22"/>
                    <w:lang w:val="en-US"/>
                  </w:rPr>
                  <m:t>∆</m:t>
                </m:r>
                <m:sSubSup>
                  <m:sSubSupPr>
                    <m:ctrlPr>
                      <w:rPr>
                        <w:rFonts w:ascii="Cambria Math" w:hAnsi="Cambria Math"/>
                        <w:i/>
                        <w:sz w:val="22"/>
                        <w:szCs w:val="22"/>
                        <w:lang w:val="en-US"/>
                      </w:rPr>
                    </m:ctrlPr>
                  </m:sSubSupPr>
                  <m:e>
                    <m:r>
                      <w:rPr>
                        <w:rFonts w:ascii="Cambria Math" w:hAnsi="Cambria Math"/>
                        <w:sz w:val="22"/>
                        <w:szCs w:val="22"/>
                        <w:lang w:val="en-US"/>
                      </w:rPr>
                      <m:t>π</m:t>
                    </m:r>
                  </m:e>
                  <m:sub>
                    <m:r>
                      <w:rPr>
                        <w:rFonts w:ascii="Cambria Math" w:hAnsi="Cambria Math"/>
                        <w:sz w:val="22"/>
                        <w:szCs w:val="22"/>
                        <w:lang w:val="en-US"/>
                      </w:rPr>
                      <m:t>t</m:t>
                    </m:r>
                  </m:sub>
                  <m:sup>
                    <m:r>
                      <w:rPr>
                        <w:rFonts w:ascii="Cambria Math" w:hAnsi="Cambria Math"/>
                        <w:sz w:val="22"/>
                        <w:szCs w:val="22"/>
                        <w:lang w:val="en-US"/>
                      </w:rPr>
                      <m:t>e</m:t>
                    </m:r>
                  </m:sup>
                </m:sSubSup>
              </m:oMath>
            </m:oMathPara>
          </w:p>
        </w:tc>
        <w:tc>
          <w:tcPr>
            <w:tcW w:w="1135" w:type="dxa"/>
            <w:tcBorders>
              <w:top w:val="single" w:sz="4" w:space="0" w:color="auto"/>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r>
                  <w:rPr>
                    <w:rFonts w:ascii="Cambria Math" w:hAnsi="Cambria Math"/>
                    <w:sz w:val="22"/>
                    <w:szCs w:val="22"/>
                    <w:lang w:val="en-US"/>
                  </w:rPr>
                  <m:t>∆</m:t>
                </m:r>
                <m:sSubSup>
                  <m:sSubSupPr>
                    <m:ctrlPr>
                      <w:rPr>
                        <w:rFonts w:ascii="Cambria Math" w:hAnsi="Cambria Math"/>
                        <w:i/>
                        <w:sz w:val="22"/>
                        <w:szCs w:val="22"/>
                        <w:lang w:val="en-US"/>
                      </w:rPr>
                    </m:ctrlPr>
                  </m:sSubSupPr>
                  <m:e>
                    <m:r>
                      <w:rPr>
                        <w:rFonts w:ascii="Cambria Math" w:hAnsi="Cambria Math"/>
                        <w:sz w:val="22"/>
                        <w:szCs w:val="22"/>
                        <w:lang w:val="en-US"/>
                      </w:rPr>
                      <m:t>π</m:t>
                    </m:r>
                  </m:e>
                  <m:sub>
                    <m:r>
                      <w:rPr>
                        <w:rFonts w:ascii="Cambria Math" w:hAnsi="Cambria Math"/>
                        <w:sz w:val="22"/>
                        <w:szCs w:val="22"/>
                        <w:lang w:val="en-US"/>
                      </w:rPr>
                      <m:t>t</m:t>
                    </m:r>
                  </m:sub>
                  <m:sup>
                    <m:r>
                      <w:rPr>
                        <w:rFonts w:ascii="Cambria Math" w:hAnsi="Cambria Math"/>
                        <w:sz w:val="22"/>
                        <w:szCs w:val="22"/>
                        <w:lang w:val="en-US"/>
                      </w:rPr>
                      <m:t>e</m:t>
                    </m:r>
                  </m:sup>
                </m:sSubSup>
              </m:oMath>
            </m:oMathPara>
          </w:p>
        </w:tc>
        <w:tc>
          <w:tcPr>
            <w:tcW w:w="1135" w:type="dxa"/>
            <w:tcBorders>
              <w:top w:val="single" w:sz="4" w:space="0" w:color="auto"/>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r>
                  <w:rPr>
                    <w:rFonts w:ascii="Cambria Math" w:hAnsi="Cambria Math"/>
                    <w:sz w:val="22"/>
                    <w:szCs w:val="22"/>
                    <w:lang w:val="en-US"/>
                  </w:rPr>
                  <m:t>∆</m:t>
                </m:r>
                <m:sSubSup>
                  <m:sSubSupPr>
                    <m:ctrlPr>
                      <w:rPr>
                        <w:rFonts w:ascii="Cambria Math" w:hAnsi="Cambria Math"/>
                        <w:i/>
                        <w:sz w:val="22"/>
                        <w:szCs w:val="22"/>
                        <w:lang w:val="en-US"/>
                      </w:rPr>
                    </m:ctrlPr>
                  </m:sSubSupPr>
                  <m:e>
                    <m:r>
                      <w:rPr>
                        <w:rFonts w:ascii="Cambria Math" w:hAnsi="Cambria Math"/>
                        <w:sz w:val="22"/>
                        <w:szCs w:val="22"/>
                        <w:lang w:val="en-US"/>
                      </w:rPr>
                      <m:t>π</m:t>
                    </m:r>
                  </m:e>
                  <m:sub>
                    <m:r>
                      <w:rPr>
                        <w:rFonts w:ascii="Cambria Math" w:hAnsi="Cambria Math"/>
                        <w:sz w:val="22"/>
                        <w:szCs w:val="22"/>
                        <w:lang w:val="en-US"/>
                      </w:rPr>
                      <m:t>t</m:t>
                    </m:r>
                  </m:sub>
                  <m:sup>
                    <m:r>
                      <w:rPr>
                        <w:rFonts w:ascii="Cambria Math" w:hAnsi="Cambria Math"/>
                        <w:sz w:val="22"/>
                        <w:szCs w:val="22"/>
                        <w:lang w:val="en-US"/>
                      </w:rPr>
                      <m:t>e</m:t>
                    </m:r>
                  </m:sup>
                </m:sSubSup>
              </m:oMath>
            </m:oMathPara>
          </w:p>
        </w:tc>
        <w:tc>
          <w:tcPr>
            <w:tcW w:w="1679" w:type="dxa"/>
            <w:tcBorders>
              <w:top w:val="single" w:sz="4" w:space="0" w:color="auto"/>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r>
                  <w:rPr>
                    <w:rFonts w:ascii="Cambria Math" w:hAnsi="Cambria Math"/>
                    <w:sz w:val="22"/>
                    <w:szCs w:val="22"/>
                    <w:lang w:val="en-US"/>
                  </w:rPr>
                  <m:t>∆</m:t>
                </m:r>
                <m:sSubSup>
                  <m:sSubSupPr>
                    <m:ctrlPr>
                      <w:rPr>
                        <w:rFonts w:ascii="Cambria Math" w:hAnsi="Cambria Math"/>
                        <w:i/>
                        <w:sz w:val="22"/>
                        <w:szCs w:val="22"/>
                        <w:lang w:val="en-US"/>
                      </w:rPr>
                    </m:ctrlPr>
                  </m:sSubSupPr>
                  <m:e>
                    <m:r>
                      <w:rPr>
                        <w:rFonts w:ascii="Cambria Math" w:hAnsi="Cambria Math"/>
                        <w:sz w:val="22"/>
                        <w:szCs w:val="22"/>
                        <w:lang w:val="en-US"/>
                      </w:rPr>
                      <m:t>π</m:t>
                    </m:r>
                  </m:e>
                  <m:sub>
                    <m:r>
                      <w:rPr>
                        <w:rFonts w:ascii="Cambria Math" w:hAnsi="Cambria Math"/>
                        <w:sz w:val="22"/>
                        <w:szCs w:val="22"/>
                        <w:lang w:val="en-US"/>
                      </w:rPr>
                      <m:t>t</m:t>
                    </m:r>
                  </m:sub>
                  <m:sup>
                    <m:r>
                      <w:rPr>
                        <w:rFonts w:ascii="Cambria Math" w:hAnsi="Cambria Math"/>
                        <w:sz w:val="22"/>
                        <w:szCs w:val="22"/>
                        <w:lang w:val="en-US"/>
                      </w:rPr>
                      <m:t>e</m:t>
                    </m:r>
                  </m:sup>
                </m:sSubSup>
              </m:oMath>
            </m:oMathPara>
          </w:p>
        </w:tc>
      </w:tr>
      <w:tr w:rsidR="0041049C" w:rsidRPr="00612443" w:rsidTr="001D4AD7">
        <w:trPr>
          <w:trHeight w:val="300"/>
        </w:trPr>
        <w:tc>
          <w:tcPr>
            <w:tcW w:w="1590"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r>
                  <w:rPr>
                    <w:rFonts w:ascii="Cambria Math" w:hAnsi="Cambria Math"/>
                    <w:sz w:val="22"/>
                    <w:szCs w:val="22"/>
                    <w:lang w:val="en-US"/>
                  </w:rPr>
                  <m:t>c</m:t>
                </m:r>
              </m:oMath>
            </m:oMathPara>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0.001</w:t>
            </w: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0.001</w:t>
            </w: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0.001</w:t>
            </w: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0.002</w:t>
            </w: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0.001</w:t>
            </w:r>
          </w:p>
        </w:tc>
        <w:tc>
          <w:tcPr>
            <w:tcW w:w="1679"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0.001</w:t>
            </w:r>
          </w:p>
        </w:tc>
      </w:tr>
      <w:tr w:rsidR="0041049C" w:rsidRPr="00612443" w:rsidTr="001D4AD7">
        <w:trPr>
          <w:trHeight w:val="300"/>
        </w:trPr>
        <w:tc>
          <w:tcPr>
            <w:tcW w:w="1590"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[0.302]</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[0.296]</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[0.290]</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[0.248]</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[0.131]</w:t>
            </w:r>
          </w:p>
        </w:tc>
        <w:tc>
          <w:tcPr>
            <w:tcW w:w="1679"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[0.221]</w:t>
            </w:r>
          </w:p>
        </w:tc>
      </w:tr>
      <w:tr w:rsidR="0041049C" w:rsidRPr="00612443" w:rsidTr="001D4AD7">
        <w:trPr>
          <w:trHeight w:val="300"/>
        </w:trPr>
        <w:tc>
          <w:tcPr>
            <w:tcW w:w="1590"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r>
                  <w:rPr>
                    <w:rFonts w:ascii="Cambria Math" w:hAnsi="Cambria Math"/>
                    <w:sz w:val="22"/>
                    <w:szCs w:val="22"/>
                    <w:lang w:val="en-US"/>
                  </w:rPr>
                  <m:t>∆</m:t>
                </m:r>
                <m:sSubSup>
                  <m:sSubSupPr>
                    <m:ctrlPr>
                      <w:rPr>
                        <w:rFonts w:ascii="Cambria Math" w:hAnsi="Cambria Math"/>
                        <w:i/>
                        <w:sz w:val="22"/>
                        <w:szCs w:val="22"/>
                        <w:lang w:val="en-US"/>
                      </w:rPr>
                    </m:ctrlPr>
                  </m:sSubSupPr>
                  <m:e>
                    <m:r>
                      <w:rPr>
                        <w:rFonts w:ascii="Cambria Math" w:hAnsi="Cambria Math"/>
                        <w:sz w:val="22"/>
                        <w:szCs w:val="22"/>
                        <w:lang w:val="en-US"/>
                      </w:rPr>
                      <m:t>π</m:t>
                    </m:r>
                  </m:e>
                  <m:sub>
                    <m:r>
                      <w:rPr>
                        <w:rFonts w:ascii="Cambria Math" w:hAnsi="Cambria Math"/>
                        <w:sz w:val="22"/>
                        <w:szCs w:val="22"/>
                        <w:lang w:val="en-US"/>
                      </w:rPr>
                      <m:t>t-1</m:t>
                    </m:r>
                  </m:sub>
                  <m:sup>
                    <m:r>
                      <w:rPr>
                        <w:rFonts w:ascii="Cambria Math" w:hAnsi="Cambria Math"/>
                        <w:sz w:val="22"/>
                        <w:szCs w:val="22"/>
                        <w:lang w:val="en-US"/>
                      </w:rPr>
                      <m:t>e</m:t>
                    </m:r>
                  </m:sup>
                </m:sSubSup>
              </m:oMath>
            </m:oMathPara>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0.315***</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0.313**</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0.319***</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0.323***</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-0.286***</w:t>
            </w:r>
          </w:p>
        </w:tc>
        <w:tc>
          <w:tcPr>
            <w:tcW w:w="1679"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r>
      <w:tr w:rsidR="0041049C" w:rsidRPr="00612443" w:rsidTr="001D4AD7">
        <w:trPr>
          <w:trHeight w:val="300"/>
        </w:trPr>
        <w:tc>
          <w:tcPr>
            <w:tcW w:w="1590"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[7.433]</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[7.351]</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[7.429]</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[7.722]</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[-12.970]</w:t>
            </w:r>
          </w:p>
        </w:tc>
        <w:tc>
          <w:tcPr>
            <w:tcW w:w="1679"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r>
      <w:tr w:rsidR="0041049C" w:rsidRPr="00612443" w:rsidTr="001D4AD7">
        <w:trPr>
          <w:trHeight w:val="300"/>
        </w:trPr>
        <w:tc>
          <w:tcPr>
            <w:tcW w:w="1590"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sSubSup>
                  <m:sSubSupPr>
                    <m:ctrlPr>
                      <w:rPr>
                        <w:rFonts w:ascii="Cambria Math" w:hAnsi="Cambria Math"/>
                        <w:i/>
                        <w:sz w:val="22"/>
                        <w:szCs w:val="22"/>
                        <w:lang w:val="en-US"/>
                      </w:rPr>
                    </m:ctrlPr>
                  </m:sSubSupPr>
                  <m:e>
                    <m:r>
                      <w:rPr>
                        <w:rFonts w:ascii="Cambria Math" w:hAnsi="Cambria Math"/>
                        <w:sz w:val="22"/>
                        <w:szCs w:val="22"/>
                        <w:lang w:val="en-US"/>
                      </w:rPr>
                      <m:t>I</m:t>
                    </m:r>
                  </m:e>
                  <m:sub>
                    <m:r>
                      <w:rPr>
                        <w:rFonts w:ascii="Cambria Math" w:hAnsi="Cambria Math"/>
                        <w:sz w:val="22"/>
                        <w:szCs w:val="22"/>
                        <w:lang w:val="en-US"/>
                      </w:rPr>
                      <m:t>t-1</m:t>
                    </m:r>
                  </m:sub>
                  <m:sup>
                    <m:r>
                      <w:rPr>
                        <w:rFonts w:ascii="Cambria Math" w:hAnsi="Cambria Math"/>
                        <w:sz w:val="22"/>
                        <w:szCs w:val="22"/>
                        <w:lang w:val="en-US"/>
                      </w:rPr>
                      <m:t>2008</m:t>
                    </m:r>
                  </m:sup>
                </m:sSubSup>
              </m:oMath>
            </m:oMathPara>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0.0003**</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0.0003**</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0.0002**</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0.0006</w:t>
            </w:r>
          </w:p>
        </w:tc>
        <w:tc>
          <w:tcPr>
            <w:tcW w:w="1679"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0.0004**</w:t>
            </w:r>
          </w:p>
        </w:tc>
      </w:tr>
      <w:tr w:rsidR="0041049C" w:rsidRPr="00612443" w:rsidTr="001D4AD7">
        <w:trPr>
          <w:trHeight w:val="300"/>
        </w:trPr>
        <w:tc>
          <w:tcPr>
            <w:tcW w:w="1590"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[2.07]</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[2.10]</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[2.10]</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[1.54]</w:t>
            </w:r>
          </w:p>
        </w:tc>
        <w:tc>
          <w:tcPr>
            <w:tcW w:w="1679"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[2.08]</w:t>
            </w:r>
          </w:p>
        </w:tc>
      </w:tr>
      <w:tr w:rsidR="0041049C" w:rsidRPr="00612443" w:rsidTr="001D4AD7">
        <w:trPr>
          <w:trHeight w:val="300"/>
        </w:trPr>
        <w:tc>
          <w:tcPr>
            <w:tcW w:w="1590"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sSubSup>
                  <m:sSubSupPr>
                    <m:ctrlPr>
                      <w:rPr>
                        <w:rFonts w:ascii="Cambria Math" w:hAnsi="Cambria Math"/>
                        <w:i/>
                        <w:sz w:val="22"/>
                        <w:szCs w:val="22"/>
                        <w:lang w:val="en-US"/>
                      </w:rPr>
                    </m:ctrlPr>
                  </m:sSubSupPr>
                  <m:e>
                    <m:r>
                      <w:rPr>
                        <w:rFonts w:ascii="Cambria Math" w:hAnsi="Cambria Math"/>
                        <w:sz w:val="22"/>
                        <w:szCs w:val="22"/>
                        <w:lang w:val="en-US"/>
                      </w:rPr>
                      <m:t>I</m:t>
                    </m:r>
                  </m:e>
                  <m:sub>
                    <m:r>
                      <w:rPr>
                        <w:rFonts w:ascii="Cambria Math" w:hAnsi="Cambria Math"/>
                        <w:sz w:val="22"/>
                        <w:szCs w:val="22"/>
                        <w:lang w:val="en-US"/>
                      </w:rPr>
                      <m:t>t-1</m:t>
                    </m:r>
                  </m:sub>
                  <m:sup>
                    <m:r>
                      <w:rPr>
                        <w:rFonts w:ascii="Cambria Math" w:hAnsi="Cambria Math"/>
                        <w:sz w:val="22"/>
                        <w:szCs w:val="22"/>
                        <w:lang w:val="en-US"/>
                      </w:rPr>
                      <m:t>2011</m:t>
                    </m:r>
                  </m:sup>
                </m:sSubSup>
              </m:oMath>
            </m:oMathPara>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-0.0001</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-0.0001</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-0.0001</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-0.0002</w:t>
            </w:r>
          </w:p>
        </w:tc>
        <w:tc>
          <w:tcPr>
            <w:tcW w:w="1679"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-0.0002</w:t>
            </w:r>
          </w:p>
        </w:tc>
      </w:tr>
      <w:tr w:rsidR="0041049C" w:rsidRPr="00612443" w:rsidTr="001D4AD7">
        <w:trPr>
          <w:trHeight w:val="300"/>
        </w:trPr>
        <w:tc>
          <w:tcPr>
            <w:tcW w:w="1590"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[-1.33]</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[-1.46]</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[-1.48]</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[-0.91]</w:t>
            </w:r>
          </w:p>
        </w:tc>
        <w:tc>
          <w:tcPr>
            <w:tcW w:w="1679"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[-1.22]</w:t>
            </w:r>
          </w:p>
        </w:tc>
      </w:tr>
      <w:tr w:rsidR="0041049C" w:rsidRPr="00612443" w:rsidTr="001D4AD7">
        <w:trPr>
          <w:trHeight w:val="300"/>
        </w:trPr>
        <w:tc>
          <w:tcPr>
            <w:tcW w:w="1590"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sSubSup>
                  <m:sSubSupPr>
                    <m:ctrlPr>
                      <w:rPr>
                        <w:rFonts w:ascii="Cambria Math" w:hAnsi="Cambria Math"/>
                        <w:i/>
                        <w:sz w:val="22"/>
                        <w:szCs w:val="22"/>
                        <w:lang w:val="en-US"/>
                      </w:rPr>
                    </m:ctrlPr>
                  </m:sSubSupPr>
                  <m:e>
                    <m:r>
                      <w:rPr>
                        <w:rFonts w:ascii="Cambria Math" w:hAnsi="Cambria Math"/>
                        <w:sz w:val="22"/>
                        <w:szCs w:val="22"/>
                        <w:lang w:val="en-US"/>
                      </w:rPr>
                      <m:t>I</m:t>
                    </m:r>
                  </m:e>
                  <m:sub>
                    <m:r>
                      <w:rPr>
                        <w:rFonts w:ascii="Cambria Math" w:hAnsi="Cambria Math"/>
                        <w:sz w:val="22"/>
                        <w:szCs w:val="22"/>
                        <w:lang w:val="en-US"/>
                      </w:rPr>
                      <m:t>t-1</m:t>
                    </m:r>
                  </m:sub>
                  <m:sup>
                    <m:r>
                      <w:rPr>
                        <w:rFonts w:ascii="Cambria Math" w:hAnsi="Cambria Math"/>
                        <w:sz w:val="22"/>
                        <w:szCs w:val="22"/>
                        <w:lang w:val="en-US"/>
                      </w:rPr>
                      <m:t>2008</m:t>
                    </m:r>
                  </m:sup>
                </m:sSubSup>
                <m:r>
                  <w:rPr>
                    <w:rFonts w:ascii="Cambria Math" w:hAnsi="Cambria Math"/>
                    <w:sz w:val="22"/>
                    <w:szCs w:val="22"/>
                    <w:lang w:val="en-US"/>
                  </w:rPr>
                  <m:t>+</m:t>
                </m:r>
                <m:sSubSup>
                  <m:sSubSupPr>
                    <m:ctrlPr>
                      <w:rPr>
                        <w:rFonts w:ascii="Cambria Math" w:hAnsi="Cambria Math"/>
                        <w:i/>
                        <w:sz w:val="22"/>
                        <w:szCs w:val="22"/>
                        <w:lang w:val="en-US"/>
                      </w:rPr>
                    </m:ctrlPr>
                  </m:sSubSupPr>
                  <m:e>
                    <m:r>
                      <w:rPr>
                        <w:rFonts w:ascii="Cambria Math" w:hAnsi="Cambria Math"/>
                        <w:sz w:val="22"/>
                        <w:szCs w:val="22"/>
                        <w:lang w:val="en-US"/>
                      </w:rPr>
                      <m:t>I</m:t>
                    </m:r>
                  </m:e>
                  <m:sub>
                    <m:r>
                      <w:rPr>
                        <w:rFonts w:ascii="Cambria Math" w:hAnsi="Cambria Math"/>
                        <w:sz w:val="22"/>
                        <w:szCs w:val="22"/>
                        <w:lang w:val="en-US"/>
                      </w:rPr>
                      <m:t>t-1</m:t>
                    </m:r>
                  </m:sub>
                  <m:sup>
                    <m:r>
                      <w:rPr>
                        <w:rFonts w:ascii="Cambria Math" w:hAnsi="Cambria Math"/>
                        <w:sz w:val="22"/>
                        <w:szCs w:val="22"/>
                        <w:lang w:val="en-US"/>
                      </w:rPr>
                      <m:t>2011</m:t>
                    </m:r>
                  </m:sup>
                </m:sSubSup>
              </m:oMath>
            </m:oMathPara>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-0.0001</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679"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r>
      <w:tr w:rsidR="0041049C" w:rsidRPr="00612443" w:rsidTr="001D4AD7">
        <w:trPr>
          <w:trHeight w:val="300"/>
        </w:trPr>
        <w:tc>
          <w:tcPr>
            <w:tcW w:w="1590"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[-1.087]</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679"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r>
      <w:tr w:rsidR="0041049C" w:rsidRPr="00612443" w:rsidTr="001D4AD7">
        <w:trPr>
          <w:trHeight w:val="300"/>
        </w:trPr>
        <w:tc>
          <w:tcPr>
            <w:tcW w:w="1590"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sSub>
                  <m:sSubPr>
                    <m:ctrlPr>
                      <w:rPr>
                        <w:rFonts w:ascii="Cambria Math" w:hAnsi="Cambria Math"/>
                        <w:i/>
                        <w:sz w:val="22"/>
                        <w:szCs w:val="22"/>
                        <w:lang w:val="en-US"/>
                      </w:rPr>
                    </m:ctrlPr>
                  </m:sSubPr>
                  <m:e>
                    <m:r>
                      <w:rPr>
                        <w:rFonts w:ascii="Cambria Math" w:hAnsi="Cambria Math"/>
                        <w:sz w:val="22"/>
                        <w:szCs w:val="22"/>
                        <w:lang w:val="en-US"/>
                      </w:rPr>
                      <m:t>A</m:t>
                    </m:r>
                  </m:e>
                  <m:sub>
                    <m:r>
                      <w:rPr>
                        <w:rFonts w:ascii="Cambria Math" w:hAnsi="Cambria Math"/>
                        <w:sz w:val="22"/>
                        <w:szCs w:val="22"/>
                        <w:lang w:val="en-US"/>
                      </w:rPr>
                      <m:t>t-1</m:t>
                    </m:r>
                  </m:sub>
                </m:sSub>
              </m:oMath>
            </m:oMathPara>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0.024***</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0.025***</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0.024***</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0.024***</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0.059***</w:t>
            </w:r>
          </w:p>
        </w:tc>
        <w:tc>
          <w:tcPr>
            <w:tcW w:w="1679"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0.041***</w:t>
            </w:r>
          </w:p>
        </w:tc>
      </w:tr>
      <w:tr w:rsidR="0041049C" w:rsidRPr="00612443" w:rsidTr="001D4AD7">
        <w:trPr>
          <w:trHeight w:val="300"/>
        </w:trPr>
        <w:tc>
          <w:tcPr>
            <w:tcW w:w="1590"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[2.87]</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[3.01]</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[2.88]</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[2.93]</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[3.31]</w:t>
            </w:r>
          </w:p>
        </w:tc>
        <w:tc>
          <w:tcPr>
            <w:tcW w:w="1679"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[3.97]</w:t>
            </w:r>
          </w:p>
        </w:tc>
      </w:tr>
      <w:tr w:rsidR="0041049C" w:rsidRPr="00612443" w:rsidTr="001D4AD7">
        <w:trPr>
          <w:trHeight w:val="300"/>
        </w:trPr>
        <w:tc>
          <w:tcPr>
            <w:tcW w:w="1590"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sSub>
                  <m:sSubPr>
                    <m:ctrlPr>
                      <w:rPr>
                        <w:rFonts w:ascii="Cambria Math" w:hAnsi="Cambria Math"/>
                        <w:i/>
                        <w:sz w:val="22"/>
                        <w:szCs w:val="22"/>
                        <w:lang w:val="en-US"/>
                      </w:rPr>
                    </m:ctrlPr>
                  </m:sSubPr>
                  <m:e>
                    <m:r>
                      <w:rPr>
                        <w:rFonts w:ascii="Cambria Math" w:hAnsi="Cambria Math"/>
                        <w:sz w:val="22"/>
                        <w:szCs w:val="22"/>
                        <w:lang w:val="en-US"/>
                      </w:rPr>
                      <m:t>∆π</m:t>
                    </m:r>
                  </m:e>
                  <m:sub>
                    <m:r>
                      <w:rPr>
                        <w:rFonts w:ascii="Cambria Math" w:hAnsi="Cambria Math"/>
                        <w:sz w:val="22"/>
                        <w:szCs w:val="22"/>
                        <w:lang w:val="en-US"/>
                      </w:rPr>
                      <m:t>t-1</m:t>
                    </m:r>
                  </m:sub>
                </m:sSub>
              </m:oMath>
            </m:oMathPara>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-0.024</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-0.024</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-0.024</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679"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r>
      <w:tr w:rsidR="0041049C" w:rsidRPr="00612443" w:rsidTr="001D4AD7">
        <w:trPr>
          <w:trHeight w:val="300"/>
        </w:trPr>
        <w:tc>
          <w:tcPr>
            <w:tcW w:w="1590"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[-0.881]</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[-0.882]</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[-0.919]</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679"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r>
      <w:tr w:rsidR="0041049C" w:rsidRPr="00612443" w:rsidTr="001D4AD7">
        <w:trPr>
          <w:trHeight w:val="300"/>
        </w:trPr>
        <w:tc>
          <w:tcPr>
            <w:tcW w:w="1590"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sSub>
                  <m:sSubPr>
                    <m:ctrlPr>
                      <w:rPr>
                        <w:rFonts w:ascii="Cambria Math" w:hAnsi="Cambria Math"/>
                        <w:i/>
                        <w:sz w:val="22"/>
                        <w:szCs w:val="22"/>
                        <w:lang w:val="en-US"/>
                      </w:rPr>
                    </m:ctrlPr>
                  </m:sSubPr>
                  <m:e>
                    <m:r>
                      <w:rPr>
                        <w:rFonts w:ascii="Cambria Math" w:hAnsi="Cambria Math"/>
                        <w:sz w:val="22"/>
                        <w:szCs w:val="22"/>
                        <w:lang w:val="en-US"/>
                      </w:rPr>
                      <m:t>rr</m:t>
                    </m:r>
                  </m:e>
                  <m:sub>
                    <m:r>
                      <w:rPr>
                        <w:rFonts w:ascii="Cambria Math" w:hAnsi="Cambria Math"/>
                        <w:sz w:val="22"/>
                        <w:szCs w:val="22"/>
                        <w:lang w:val="en-US"/>
                      </w:rPr>
                      <m:t>t-1</m:t>
                    </m:r>
                  </m:sub>
                </m:sSub>
              </m:oMath>
            </m:oMathPara>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-0.009</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-0.009</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679"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r>
      <w:tr w:rsidR="0041049C" w:rsidRPr="00612443" w:rsidTr="001D4AD7">
        <w:trPr>
          <w:trHeight w:val="300"/>
        </w:trPr>
        <w:tc>
          <w:tcPr>
            <w:tcW w:w="1590"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[-1.589]</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[-1.637]</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135"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679" w:type="dxa"/>
            <w:tcBorders>
              <w:top w:val="nil"/>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r>
      <w:tr w:rsidR="0041049C" w:rsidRPr="00612443" w:rsidTr="001D4AD7">
        <w:trPr>
          <w:trHeight w:val="300"/>
        </w:trPr>
        <w:tc>
          <w:tcPr>
            <w:tcW w:w="1590"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m:oMathPara>
              <m:oMath>
                <m:r>
                  <w:rPr>
                    <w:rFonts w:ascii="Cambria Math" w:hAnsi="Cambria Math"/>
                    <w:sz w:val="22"/>
                    <w:szCs w:val="22"/>
                    <w:lang w:val="en-US"/>
                  </w:rPr>
                  <m:t>θ</m:t>
                </m:r>
              </m:oMath>
            </m:oMathPara>
          </w:p>
        </w:tc>
        <w:tc>
          <w:tcPr>
            <w:tcW w:w="1135"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-0.711***</w:t>
            </w:r>
          </w:p>
        </w:tc>
        <w:tc>
          <w:tcPr>
            <w:tcW w:w="1135"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-0.708***</w:t>
            </w:r>
          </w:p>
        </w:tc>
        <w:tc>
          <w:tcPr>
            <w:tcW w:w="1135"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-0.714***</w:t>
            </w:r>
          </w:p>
        </w:tc>
        <w:tc>
          <w:tcPr>
            <w:tcW w:w="1135"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-0.718***</w:t>
            </w:r>
          </w:p>
        </w:tc>
        <w:tc>
          <w:tcPr>
            <w:tcW w:w="1135"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679"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-0.452***</w:t>
            </w:r>
          </w:p>
        </w:tc>
      </w:tr>
      <w:tr w:rsidR="0041049C" w:rsidRPr="00612443" w:rsidTr="001D4AD7">
        <w:trPr>
          <w:trHeight w:val="300"/>
        </w:trPr>
        <w:tc>
          <w:tcPr>
            <w:tcW w:w="1590" w:type="dxa"/>
            <w:tcBorders>
              <w:top w:val="nil"/>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p>
        </w:tc>
        <w:tc>
          <w:tcPr>
            <w:tcW w:w="1135" w:type="dxa"/>
            <w:tcBorders>
              <w:top w:val="nil"/>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[-22.32]</w:t>
            </w:r>
          </w:p>
        </w:tc>
        <w:tc>
          <w:tcPr>
            <w:tcW w:w="1135" w:type="dxa"/>
            <w:tcBorders>
              <w:top w:val="nil"/>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[-21.87]</w:t>
            </w:r>
          </w:p>
        </w:tc>
        <w:tc>
          <w:tcPr>
            <w:tcW w:w="1135" w:type="dxa"/>
            <w:tcBorders>
              <w:top w:val="nil"/>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[-22.184]</w:t>
            </w:r>
          </w:p>
        </w:tc>
        <w:tc>
          <w:tcPr>
            <w:tcW w:w="1135" w:type="dxa"/>
            <w:tcBorders>
              <w:top w:val="nil"/>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[-22.855]</w:t>
            </w:r>
          </w:p>
        </w:tc>
        <w:tc>
          <w:tcPr>
            <w:tcW w:w="1135" w:type="dxa"/>
            <w:tcBorders>
              <w:top w:val="nil"/>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w:t>
            </w:r>
          </w:p>
        </w:tc>
        <w:tc>
          <w:tcPr>
            <w:tcW w:w="1679" w:type="dxa"/>
            <w:tcBorders>
              <w:top w:val="nil"/>
              <w:left w:val="nil"/>
              <w:bottom w:val="doub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[-20.502]</w:t>
            </w:r>
          </w:p>
        </w:tc>
      </w:tr>
      <w:tr w:rsidR="0041049C" w:rsidRPr="00612443" w:rsidTr="001D4AD7">
        <w:trPr>
          <w:trHeight w:val="300"/>
        </w:trPr>
        <w:tc>
          <w:tcPr>
            <w:tcW w:w="1590"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No. Obs.</w:t>
            </w: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1,755</w:t>
            </w: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1,755</w:t>
            </w: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1,755</w:t>
            </w: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1,755</w:t>
            </w:r>
          </w:p>
        </w:tc>
        <w:tc>
          <w:tcPr>
            <w:tcW w:w="1135"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1,755</w:t>
            </w:r>
          </w:p>
        </w:tc>
        <w:tc>
          <w:tcPr>
            <w:tcW w:w="1679" w:type="dxa"/>
            <w:tcBorders>
              <w:top w:val="double" w:sz="4" w:space="0" w:color="auto"/>
              <w:left w:val="nil"/>
              <w:bottom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1,757</w:t>
            </w:r>
          </w:p>
        </w:tc>
      </w:tr>
      <w:tr w:rsidR="0041049C" w:rsidRPr="00612443" w:rsidTr="001D4AD7">
        <w:trPr>
          <w:trHeight w:val="300"/>
        </w:trPr>
        <w:tc>
          <w:tcPr>
            <w:tcW w:w="1590"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position w:val="-4"/>
                <w:lang w:val="en-US"/>
              </w:rPr>
              <w:object w:dxaOrig="320" w:dyaOrig="300">
                <v:shape id="_x0000_i1026" type="#_x0000_t75" style="width:16.5pt;height:15pt" o:ole="">
                  <v:imagedata r:id="rId13" o:title=""/>
                </v:shape>
                <o:OLEObject Type="Embed" ProgID="Equation.DSMT4" ShapeID="_x0000_i1026" DrawAspect="Content" ObjectID="_1552495462" r:id="rId15"/>
              </w:object>
            </w:r>
          </w:p>
        </w:tc>
        <w:tc>
          <w:tcPr>
            <w:tcW w:w="1135"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0.172</w:t>
            </w:r>
          </w:p>
        </w:tc>
        <w:tc>
          <w:tcPr>
            <w:tcW w:w="1135"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0.171</w:t>
            </w:r>
          </w:p>
        </w:tc>
        <w:tc>
          <w:tcPr>
            <w:tcW w:w="1135"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0.171</w:t>
            </w:r>
          </w:p>
        </w:tc>
        <w:tc>
          <w:tcPr>
            <w:tcW w:w="1135"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0.171</w:t>
            </w:r>
          </w:p>
        </w:tc>
        <w:tc>
          <w:tcPr>
            <w:tcW w:w="1135"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0.090</w:t>
            </w:r>
          </w:p>
        </w:tc>
        <w:tc>
          <w:tcPr>
            <w:tcW w:w="1679" w:type="dxa"/>
            <w:tcBorders>
              <w:top w:val="nil"/>
              <w:left w:val="nil"/>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0.142</w:t>
            </w:r>
          </w:p>
        </w:tc>
      </w:tr>
      <w:tr w:rsidR="0041049C" w:rsidRPr="00612443" w:rsidTr="001D4AD7">
        <w:trPr>
          <w:trHeight w:val="300"/>
        </w:trPr>
        <w:tc>
          <w:tcPr>
            <w:tcW w:w="1590" w:type="dxa"/>
            <w:tcBorders>
              <w:top w:val="nil"/>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Durbin-Watson</w:t>
            </w:r>
          </w:p>
        </w:tc>
        <w:tc>
          <w:tcPr>
            <w:tcW w:w="1135" w:type="dxa"/>
            <w:tcBorders>
              <w:top w:val="nil"/>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2.059</w:t>
            </w:r>
          </w:p>
        </w:tc>
        <w:tc>
          <w:tcPr>
            <w:tcW w:w="1135" w:type="dxa"/>
            <w:tcBorders>
              <w:top w:val="nil"/>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2.061</w:t>
            </w:r>
          </w:p>
        </w:tc>
        <w:tc>
          <w:tcPr>
            <w:tcW w:w="1135" w:type="dxa"/>
            <w:tcBorders>
              <w:top w:val="nil"/>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2.06</w:t>
            </w:r>
          </w:p>
        </w:tc>
        <w:tc>
          <w:tcPr>
            <w:tcW w:w="1135" w:type="dxa"/>
            <w:tcBorders>
              <w:top w:val="nil"/>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2.06</w:t>
            </w:r>
          </w:p>
        </w:tc>
        <w:tc>
          <w:tcPr>
            <w:tcW w:w="1135" w:type="dxa"/>
            <w:tcBorders>
              <w:top w:val="nil"/>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2.13</w:t>
            </w:r>
          </w:p>
        </w:tc>
        <w:tc>
          <w:tcPr>
            <w:tcW w:w="1679" w:type="dxa"/>
            <w:tcBorders>
              <w:top w:val="nil"/>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noProof w:val="0"/>
                <w:color w:val="000000"/>
                <w:lang w:val="en-US"/>
              </w:rPr>
              <w:t>1.91</w:t>
            </w:r>
          </w:p>
        </w:tc>
      </w:tr>
      <w:tr w:rsidR="0041049C" w:rsidRPr="00612443" w:rsidTr="001D4AD7">
        <w:trPr>
          <w:trHeight w:val="300"/>
        </w:trPr>
        <w:tc>
          <w:tcPr>
            <w:tcW w:w="8944" w:type="dxa"/>
            <w:gridSpan w:val="7"/>
            <w:tcBorders>
              <w:top w:val="single" w:sz="4" w:space="0" w:color="auto"/>
              <w:left w:val="nil"/>
              <w:bottom w:val="single" w:sz="4" w:space="0" w:color="auto"/>
              <w:right w:val="nil"/>
            </w:tcBorders>
            <w:shd w:val="clear" w:color="auto" w:fill="auto"/>
            <w:noWrap/>
            <w:vAlign w:val="bottom"/>
            <w:hideMark/>
          </w:tcPr>
          <w:p w:rsidR="0041049C" w:rsidRPr="00612443" w:rsidRDefault="0041049C" w:rsidP="00C943B8">
            <w:pPr>
              <w:autoSpaceDE/>
              <w:autoSpaceDN/>
              <w:adjustRightInd/>
              <w:jc w:val="center"/>
              <w:rPr>
                <w:rFonts w:ascii="Palatino Linotype" w:eastAsia="Times New Roman" w:hAnsi="Palatino Linotype"/>
                <w:noProof w:val="0"/>
                <w:color w:val="000000"/>
                <w:lang w:val="en-US"/>
              </w:rPr>
            </w:pPr>
            <w:r w:rsidRPr="00612443">
              <w:rPr>
                <w:rFonts w:ascii="Palatino Linotype" w:eastAsia="Times New Roman" w:hAnsi="Palatino Linotype"/>
                <w:i/>
                <w:noProof w:val="0"/>
                <w:color w:val="000000"/>
                <w:lang w:val="en-US"/>
              </w:rPr>
              <w:t>t</w:t>
            </w:r>
            <w:r w:rsidRPr="00612443">
              <w:rPr>
                <w:rFonts w:ascii="Palatino Linotype" w:eastAsia="Times New Roman" w:hAnsi="Palatino Linotype"/>
                <w:noProof w:val="0"/>
                <w:color w:val="000000"/>
                <w:lang w:val="en-US"/>
              </w:rPr>
              <w:t>-Statistics are shown in [...]. (*) (**) (***) significant at the 10%, 5% and 1% level.</w:t>
            </w:r>
          </w:p>
        </w:tc>
      </w:tr>
      <w:tr w:rsidR="0041049C" w:rsidRPr="00612443" w:rsidTr="001D4AD7">
        <w:trPr>
          <w:trHeight w:val="300"/>
        </w:trPr>
        <w:tc>
          <w:tcPr>
            <w:tcW w:w="8944" w:type="dxa"/>
            <w:gridSpan w:val="7"/>
            <w:tcBorders>
              <w:top w:val="single" w:sz="4" w:space="0" w:color="auto"/>
              <w:left w:val="nil"/>
              <w:bottom w:val="nil"/>
              <w:right w:val="nil"/>
            </w:tcBorders>
            <w:shd w:val="clear" w:color="auto" w:fill="auto"/>
            <w:noWrap/>
            <w:vAlign w:val="bottom"/>
            <w:hideMark/>
          </w:tcPr>
          <w:p w:rsidR="0041049C" w:rsidRPr="00612443" w:rsidRDefault="0041049C" w:rsidP="00087A7E">
            <w:pPr>
              <w:spacing w:before="60"/>
              <w:ind w:firstLine="300"/>
              <w:rPr>
                <w:rFonts w:ascii="Palatino Linotype" w:hAnsi="Palatino Linotype"/>
                <w:sz w:val="22"/>
                <w:szCs w:val="22"/>
                <w:lang w:val="en-US"/>
              </w:rPr>
            </w:pPr>
          </w:p>
          <w:p w:rsidR="0041049C" w:rsidRDefault="0041049C" w:rsidP="00087A7E">
            <w:pPr>
              <w:spacing w:before="60"/>
              <w:ind w:firstLine="300"/>
              <w:rPr>
                <w:rFonts w:ascii="Palatino Linotype" w:hAnsi="Palatino Linotype"/>
                <w:sz w:val="22"/>
                <w:szCs w:val="22"/>
                <w:lang w:val="en-US"/>
              </w:rPr>
            </w:pPr>
          </w:p>
          <w:p w:rsidR="001D4AD7" w:rsidRPr="00612443" w:rsidRDefault="001D4AD7" w:rsidP="00087A7E">
            <w:pPr>
              <w:spacing w:before="60"/>
              <w:ind w:firstLine="300"/>
              <w:rPr>
                <w:rFonts w:ascii="Palatino Linotype" w:hAnsi="Palatino Linotype"/>
                <w:sz w:val="22"/>
                <w:szCs w:val="22"/>
                <w:lang w:val="en-US"/>
              </w:rPr>
            </w:pPr>
          </w:p>
          <w:p w:rsidR="0041049C" w:rsidRPr="00612443" w:rsidRDefault="0041049C" w:rsidP="001D4AD7">
            <w:pPr>
              <w:spacing w:before="60"/>
              <w:rPr>
                <w:rFonts w:ascii="Palatino Linotype" w:hAnsi="Palatino Linotype"/>
                <w:sz w:val="22"/>
                <w:szCs w:val="22"/>
                <w:lang w:val="en-US"/>
              </w:rPr>
            </w:pPr>
            <w:r w:rsidRPr="00612443">
              <w:rPr>
                <w:rFonts w:ascii="Palatino Linotype" w:hAnsi="Palatino Linotype"/>
                <w:sz w:val="22"/>
                <w:szCs w:val="22"/>
                <w:lang w:val="en-US"/>
              </w:rPr>
              <w:t xml:space="preserve">From Table </w:t>
            </w:r>
            <w:r w:rsidR="00087A7E">
              <w:rPr>
                <w:rFonts w:ascii="Palatino Linotype" w:hAnsi="Palatino Linotype"/>
                <w:sz w:val="22"/>
                <w:szCs w:val="22"/>
                <w:lang w:val="en-US"/>
              </w:rPr>
              <w:t>2</w:t>
            </w:r>
            <w:r w:rsidRPr="00612443">
              <w:rPr>
                <w:rFonts w:ascii="Palatino Linotype" w:hAnsi="Palatino Linotype"/>
                <w:sz w:val="22"/>
                <w:szCs w:val="22"/>
                <w:lang w:val="en-US"/>
              </w:rPr>
              <w:t>, we see that in all our specifications the announcement variable is statistically significant at high confidence levels. The sign of the estimated coefficient is also easy to interpret, as the announcement of a dollar purchase program may generate a rise in inflation expectations. These results suggest that an intervention announcement for $10 billion tends to raise inflation expectations between 24 and 59 basis points on the day after the announcement takes place.</w:t>
            </w:r>
          </w:p>
          <w:p w:rsidR="0041049C" w:rsidRPr="00612443" w:rsidRDefault="0041049C" w:rsidP="00087A7E">
            <w:pPr>
              <w:spacing w:before="60"/>
              <w:ind w:firstLine="300"/>
              <w:rPr>
                <w:rFonts w:ascii="Palatino Linotype" w:hAnsi="Palatino Linotype"/>
                <w:sz w:val="22"/>
                <w:szCs w:val="22"/>
                <w:lang w:val="en-US"/>
              </w:rPr>
            </w:pPr>
          </w:p>
          <w:p w:rsidR="0041049C" w:rsidRPr="00612443" w:rsidRDefault="0041049C" w:rsidP="00087A7E">
            <w:pPr>
              <w:spacing w:before="60"/>
              <w:ind w:firstLine="300"/>
              <w:rPr>
                <w:rFonts w:ascii="Palatino Linotype" w:hAnsi="Palatino Linotype"/>
                <w:sz w:val="22"/>
                <w:szCs w:val="22"/>
                <w:lang w:val="en-US"/>
              </w:rPr>
            </w:pPr>
            <w:r w:rsidRPr="00612443">
              <w:rPr>
                <w:rFonts w:ascii="Palatino Linotype" w:hAnsi="Palatino Linotype"/>
                <w:sz w:val="22"/>
                <w:szCs w:val="22"/>
                <w:lang w:val="en-US"/>
              </w:rPr>
              <w:t xml:space="preserve">Direct dollar purchases in 2008 are sometimes statistically significant with a positive sign, whereas the variable capturing direct dollar purchases in 2011 is not statistically significant at usual levels. </w:t>
            </w:r>
          </w:p>
          <w:p w:rsidR="0041049C" w:rsidRPr="00612443" w:rsidRDefault="0041049C" w:rsidP="00087A7E">
            <w:pPr>
              <w:spacing w:before="60"/>
              <w:ind w:firstLine="300"/>
              <w:rPr>
                <w:rFonts w:ascii="Palatino Linotype" w:hAnsi="Palatino Linotype"/>
                <w:sz w:val="22"/>
                <w:szCs w:val="22"/>
                <w:lang w:val="en-US"/>
              </w:rPr>
            </w:pPr>
          </w:p>
          <w:p w:rsidR="0041049C" w:rsidRPr="00612443" w:rsidRDefault="0041049C" w:rsidP="001D4AD7">
            <w:pPr>
              <w:spacing w:before="60"/>
              <w:ind w:firstLine="300"/>
              <w:rPr>
                <w:rFonts w:ascii="Palatino Linotype" w:hAnsi="Palatino Linotype"/>
                <w:sz w:val="22"/>
                <w:szCs w:val="22"/>
                <w:lang w:val="en-US"/>
              </w:rPr>
            </w:pPr>
            <w:r w:rsidRPr="00612443">
              <w:rPr>
                <w:rFonts w:ascii="Palatino Linotype" w:hAnsi="Palatino Linotype"/>
                <w:sz w:val="22"/>
                <w:szCs w:val="22"/>
                <w:lang w:val="en-US"/>
              </w:rPr>
              <w:t xml:space="preserve">This analysis suggests that forex interventions in Chile had an impact on the break-even inflation rate, especially at the moment of the announcement of the intervention programs. To the extent that break-even inflation rate may be consider a good proxy of inflation expectations, the results in Table </w:t>
            </w:r>
            <w:r w:rsidR="00087A7E">
              <w:rPr>
                <w:rFonts w:ascii="Palatino Linotype" w:hAnsi="Palatino Linotype"/>
                <w:sz w:val="22"/>
                <w:szCs w:val="22"/>
                <w:lang w:val="en-US"/>
              </w:rPr>
              <w:t>2</w:t>
            </w:r>
            <w:r w:rsidRPr="00612443">
              <w:rPr>
                <w:rFonts w:ascii="Palatino Linotype" w:hAnsi="Palatino Linotype"/>
                <w:sz w:val="22"/>
                <w:szCs w:val="22"/>
                <w:lang w:val="en-US"/>
              </w:rPr>
              <w:t xml:space="preserve"> </w:t>
            </w:r>
            <w:r w:rsidR="00087A7E">
              <w:rPr>
                <w:rFonts w:ascii="Palatino Linotype" w:hAnsi="Palatino Linotype"/>
                <w:sz w:val="22"/>
                <w:szCs w:val="22"/>
                <w:lang w:val="en-US"/>
              </w:rPr>
              <w:t>are consistent</w:t>
            </w:r>
            <w:r w:rsidRPr="00612443">
              <w:rPr>
                <w:rFonts w:ascii="Palatino Linotype" w:hAnsi="Palatino Linotype"/>
                <w:sz w:val="22"/>
                <w:szCs w:val="22"/>
                <w:lang w:val="en-US"/>
              </w:rPr>
              <w:t xml:space="preserve"> those </w:t>
            </w:r>
            <w:r w:rsidR="00087A7E">
              <w:rPr>
                <w:rFonts w:ascii="Palatino Linotype" w:hAnsi="Palatino Linotype"/>
                <w:sz w:val="22"/>
                <w:szCs w:val="22"/>
                <w:lang w:val="en-US"/>
              </w:rPr>
              <w:t xml:space="preserve">that we report next </w:t>
            </w:r>
            <w:r w:rsidRPr="00612443">
              <w:rPr>
                <w:rFonts w:ascii="Palatino Linotype" w:hAnsi="Palatino Linotype"/>
                <w:sz w:val="22"/>
                <w:szCs w:val="22"/>
                <w:lang w:val="en-US"/>
              </w:rPr>
              <w:t>when working with survey-based measures of inflation expectations.</w:t>
            </w:r>
          </w:p>
        </w:tc>
      </w:tr>
    </w:tbl>
    <w:p w:rsidR="0041049C" w:rsidRPr="0041049C" w:rsidRDefault="0041049C" w:rsidP="0041049C">
      <w:pPr>
        <w:rPr>
          <w:lang w:val="en-US"/>
        </w:rPr>
      </w:pPr>
    </w:p>
    <w:p w:rsidR="007D5E9A" w:rsidRPr="007D5E9A" w:rsidRDefault="007D5E9A" w:rsidP="007D5E9A">
      <w:pPr>
        <w:pStyle w:val="Prrafodelista"/>
        <w:numPr>
          <w:ilvl w:val="1"/>
          <w:numId w:val="1"/>
        </w:numPr>
        <w:rPr>
          <w:i/>
          <w:lang w:val="en-US"/>
        </w:rPr>
      </w:pPr>
      <w:r w:rsidRPr="007D5E9A">
        <w:rPr>
          <w:rFonts w:ascii="Palatino Linotype" w:hAnsi="Palatino Linotype"/>
          <w:i/>
          <w:sz w:val="22"/>
          <w:szCs w:val="22"/>
          <w:lang w:val="en-US"/>
        </w:rPr>
        <w:t xml:space="preserve">The impact on </w:t>
      </w:r>
      <w:r w:rsidRPr="007D5E9A">
        <w:rPr>
          <w:rFonts w:ascii="Palatino Linotype" w:hAnsi="Palatino Linotype"/>
          <w:i/>
          <w:sz w:val="22"/>
          <w:szCs w:val="22"/>
          <w:lang w:val="en-US"/>
        </w:rPr>
        <w:t>inflation expectations</w:t>
      </w:r>
    </w:p>
    <w:p w:rsidR="0058159B" w:rsidRPr="00612443" w:rsidRDefault="0058159B">
      <w:pPr>
        <w:spacing w:before="60"/>
        <w:rPr>
          <w:rFonts w:ascii="Palatino Linotype" w:hAnsi="Palatino Linotype"/>
          <w:sz w:val="22"/>
          <w:szCs w:val="22"/>
          <w:lang w:val="en-US"/>
        </w:rPr>
      </w:pPr>
    </w:p>
    <w:p w:rsidR="00D67271" w:rsidRPr="00612443" w:rsidRDefault="000D18E6" w:rsidP="0058159B">
      <w:pPr>
        <w:spacing w:before="60"/>
        <w:ind w:firstLine="300"/>
        <w:rPr>
          <w:rFonts w:ascii="Palatino Linotype" w:hAnsi="Palatino Linotype"/>
          <w:sz w:val="22"/>
          <w:szCs w:val="22"/>
          <w:lang w:val="en-US"/>
        </w:rPr>
      </w:pPr>
      <w:r w:rsidRPr="00612443">
        <w:rPr>
          <w:rFonts w:ascii="Palatino Linotype" w:hAnsi="Palatino Linotype"/>
          <w:sz w:val="22"/>
          <w:szCs w:val="22"/>
          <w:lang w:val="en-US"/>
        </w:rPr>
        <w:t>We engage in t</w:t>
      </w:r>
      <w:r w:rsidR="00FF1969">
        <w:rPr>
          <w:rFonts w:ascii="Palatino Linotype" w:hAnsi="Palatino Linotype"/>
          <w:sz w:val="22"/>
          <w:szCs w:val="22"/>
          <w:lang w:val="en-US"/>
        </w:rPr>
        <w:t>wo</w:t>
      </w:r>
      <w:r w:rsidRPr="00612443">
        <w:rPr>
          <w:rFonts w:ascii="Palatino Linotype" w:hAnsi="Palatino Linotype"/>
          <w:sz w:val="22"/>
          <w:szCs w:val="22"/>
          <w:lang w:val="en-US"/>
        </w:rPr>
        <w:t xml:space="preserve"> different exercises to analyze the relationship between exchange rate interventions in Chile and </w:t>
      </w:r>
      <w:r w:rsidR="002F3DB1" w:rsidRPr="00612443">
        <w:rPr>
          <w:rFonts w:ascii="Palatino Linotype" w:hAnsi="Palatino Linotype"/>
          <w:sz w:val="22"/>
          <w:szCs w:val="22"/>
          <w:lang w:val="en-US"/>
        </w:rPr>
        <w:t>different measures</w:t>
      </w:r>
      <w:r w:rsidRPr="00612443">
        <w:rPr>
          <w:rFonts w:ascii="Palatino Linotype" w:hAnsi="Palatino Linotype"/>
          <w:sz w:val="22"/>
          <w:szCs w:val="22"/>
          <w:lang w:val="en-US"/>
        </w:rPr>
        <w:t xml:space="preserve"> of inflation expectations. </w:t>
      </w:r>
      <w:r w:rsidR="00FF1969">
        <w:rPr>
          <w:rFonts w:ascii="Palatino Linotype" w:hAnsi="Palatino Linotype"/>
          <w:sz w:val="22"/>
          <w:szCs w:val="22"/>
          <w:lang w:val="en-US"/>
        </w:rPr>
        <w:t>We</w:t>
      </w:r>
      <w:r w:rsidRPr="00612443">
        <w:rPr>
          <w:rFonts w:ascii="Palatino Linotype" w:hAnsi="Palatino Linotype"/>
          <w:sz w:val="22"/>
          <w:szCs w:val="22"/>
          <w:lang w:val="en-US"/>
        </w:rPr>
        <w:t xml:space="preserve"> </w:t>
      </w:r>
      <w:r w:rsidR="00FF1969">
        <w:rPr>
          <w:rFonts w:ascii="Palatino Linotype" w:hAnsi="Palatino Linotype"/>
          <w:sz w:val="22"/>
          <w:szCs w:val="22"/>
          <w:lang w:val="en-US"/>
        </w:rPr>
        <w:t>use</w:t>
      </w:r>
      <w:r w:rsidRPr="00612443">
        <w:rPr>
          <w:rFonts w:ascii="Palatino Linotype" w:hAnsi="Palatino Linotype"/>
          <w:sz w:val="22"/>
          <w:szCs w:val="22"/>
          <w:lang w:val="en-US"/>
        </w:rPr>
        <w:t xml:space="preserve"> monthly data for Chilean CPI, </w:t>
      </w:r>
      <w:r w:rsidR="009562E2" w:rsidRPr="00612443">
        <w:rPr>
          <w:rFonts w:ascii="Palatino Linotype" w:hAnsi="Palatino Linotype"/>
          <w:sz w:val="22"/>
          <w:szCs w:val="22"/>
          <w:lang w:val="en-US"/>
        </w:rPr>
        <w:t xml:space="preserve">the </w:t>
      </w:r>
      <w:r w:rsidRPr="00612443">
        <w:rPr>
          <w:rFonts w:ascii="Palatino Linotype" w:hAnsi="Palatino Linotype"/>
          <w:sz w:val="22"/>
          <w:szCs w:val="22"/>
          <w:lang w:val="en-US"/>
        </w:rPr>
        <w:t xml:space="preserve">monthly amount of dollar purchases carried out by the Central Bank of Chile, a set of covariates and nine deciles of inflation expectations at </w:t>
      </w:r>
      <w:r w:rsidR="00585F23" w:rsidRPr="00612443">
        <w:rPr>
          <w:rFonts w:ascii="Palatino Linotype" w:hAnsi="Palatino Linotype"/>
          <w:sz w:val="22"/>
          <w:szCs w:val="22"/>
          <w:lang w:val="en-US"/>
        </w:rPr>
        <w:t>1</w:t>
      </w:r>
      <w:r w:rsidRPr="00612443">
        <w:rPr>
          <w:rFonts w:ascii="Palatino Linotype" w:hAnsi="Palatino Linotype"/>
          <w:sz w:val="22"/>
          <w:szCs w:val="22"/>
          <w:lang w:val="en-US"/>
        </w:rPr>
        <w:t xml:space="preserve">, </w:t>
      </w:r>
      <w:r w:rsidR="009562E2" w:rsidRPr="00612443">
        <w:rPr>
          <w:rFonts w:ascii="Palatino Linotype" w:hAnsi="Palatino Linotype"/>
          <w:sz w:val="22"/>
          <w:szCs w:val="22"/>
          <w:lang w:val="en-US"/>
        </w:rPr>
        <w:t xml:space="preserve">12 </w:t>
      </w:r>
      <w:r w:rsidRPr="00612443">
        <w:rPr>
          <w:rFonts w:ascii="Palatino Linotype" w:hAnsi="Palatino Linotype"/>
          <w:sz w:val="22"/>
          <w:szCs w:val="22"/>
          <w:lang w:val="en-US"/>
        </w:rPr>
        <w:t xml:space="preserve">and </w:t>
      </w:r>
      <w:r w:rsidR="009562E2" w:rsidRPr="00612443">
        <w:rPr>
          <w:rFonts w:ascii="Palatino Linotype" w:hAnsi="Palatino Linotype"/>
          <w:sz w:val="22"/>
          <w:szCs w:val="22"/>
          <w:lang w:val="en-US"/>
        </w:rPr>
        <w:t xml:space="preserve">24 </w:t>
      </w:r>
      <w:r w:rsidRPr="00612443">
        <w:rPr>
          <w:rFonts w:ascii="Palatino Linotype" w:hAnsi="Palatino Linotype"/>
          <w:sz w:val="22"/>
          <w:szCs w:val="22"/>
          <w:lang w:val="en-US"/>
        </w:rPr>
        <w:t xml:space="preserve">months ahead. These deciles are obtained from the Survey of Professional Forecasters (SPF) carried out by the Central Bank of Chile </w:t>
      </w:r>
      <w:r w:rsidR="00D174C9" w:rsidRPr="00612443">
        <w:rPr>
          <w:rFonts w:ascii="Palatino Linotype" w:hAnsi="Palatino Linotype"/>
          <w:sz w:val="22"/>
          <w:szCs w:val="22"/>
          <w:lang w:val="en-US"/>
        </w:rPr>
        <w:t xml:space="preserve">on </w:t>
      </w:r>
      <w:r w:rsidRPr="00612443">
        <w:rPr>
          <w:rFonts w:ascii="Palatino Linotype" w:hAnsi="Palatino Linotype"/>
          <w:sz w:val="22"/>
          <w:szCs w:val="22"/>
          <w:lang w:val="en-US"/>
        </w:rPr>
        <w:t>a monthly basis.</w:t>
      </w:r>
      <w:r w:rsidR="00F4253B" w:rsidRPr="00612443">
        <w:rPr>
          <w:rFonts w:ascii="Palatino Linotype" w:hAnsi="Palatino Linotype"/>
          <w:sz w:val="22"/>
          <w:szCs w:val="22"/>
          <w:lang w:val="en-US"/>
        </w:rPr>
        <w:t xml:space="preserve"> While it is of general academic interest to analyze the impact of forex interventions on inflation expectations at any horizon, we are particularly interested in the impact on expectations two years ahead. This is because the Central Bank of Chile has an explicit inflationary target of 3 percent </w:t>
      </w:r>
      <w:r w:rsidR="00E95F8B" w:rsidRPr="00612443">
        <w:rPr>
          <w:rFonts w:ascii="Palatino Linotype" w:hAnsi="Palatino Linotype"/>
          <w:sz w:val="22"/>
          <w:szCs w:val="22"/>
          <w:lang w:val="en-US"/>
        </w:rPr>
        <w:t>within this particular horizon.</w:t>
      </w:r>
    </w:p>
    <w:p w:rsidR="0058159B" w:rsidRPr="00612443" w:rsidRDefault="0058159B" w:rsidP="0058159B">
      <w:pPr>
        <w:spacing w:before="60"/>
        <w:ind w:firstLine="300"/>
        <w:rPr>
          <w:rFonts w:ascii="Palatino Linotype" w:hAnsi="Palatino Linotype"/>
          <w:sz w:val="22"/>
          <w:szCs w:val="22"/>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In the next subsections we describe the methodology and results of our exercises.</w:t>
      </w:r>
    </w:p>
    <w:p w:rsidR="0058159B" w:rsidRPr="00612443" w:rsidRDefault="0058159B">
      <w:pPr>
        <w:ind w:firstLine="300"/>
        <w:rPr>
          <w:rFonts w:ascii="Palatino Linotype" w:hAnsi="Palatino Linotype"/>
          <w:sz w:val="22"/>
          <w:szCs w:val="22"/>
          <w:lang w:val="en-US"/>
        </w:rPr>
      </w:pPr>
    </w:p>
    <w:p w:rsidR="00D67271" w:rsidRPr="00FF1969" w:rsidRDefault="000D18E6" w:rsidP="00FF1969">
      <w:pPr>
        <w:pStyle w:val="Ttulo3"/>
        <w:widowControl/>
        <w:numPr>
          <w:ilvl w:val="2"/>
          <w:numId w:val="1"/>
        </w:numPr>
        <w:spacing w:before="120"/>
        <w:rPr>
          <w:rFonts w:ascii="Palatino Linotype" w:hAnsi="Palatino Linotype"/>
          <w:b w:val="0"/>
          <w:i/>
          <w:sz w:val="22"/>
          <w:szCs w:val="22"/>
          <w:lang w:val="en-US"/>
        </w:rPr>
      </w:pPr>
      <w:r w:rsidRPr="00FF1969">
        <w:rPr>
          <w:rFonts w:ascii="Palatino Linotype" w:hAnsi="Palatino Linotype"/>
          <w:b w:val="0"/>
          <w:i/>
          <w:sz w:val="22"/>
          <w:szCs w:val="22"/>
          <w:lang w:val="en-US"/>
        </w:rPr>
        <w:t xml:space="preserve">Seemingly </w:t>
      </w:r>
      <w:r w:rsidR="009562E2" w:rsidRPr="00FF1969">
        <w:rPr>
          <w:rFonts w:ascii="Palatino Linotype" w:hAnsi="Palatino Linotype"/>
          <w:b w:val="0"/>
          <w:i/>
          <w:sz w:val="22"/>
          <w:szCs w:val="22"/>
          <w:lang w:val="en-US"/>
        </w:rPr>
        <w:t>unrelated approach</w:t>
      </w:r>
    </w:p>
    <w:p w:rsidR="0058159B" w:rsidRPr="00612443" w:rsidRDefault="0058159B" w:rsidP="0058159B">
      <w:pPr>
        <w:pStyle w:val="Prrafodelista"/>
        <w:ind w:left="825"/>
        <w:rPr>
          <w:rFonts w:ascii="Palatino Linotype" w:hAnsi="Palatino Linotype"/>
          <w:lang w:val="en-US"/>
        </w:rPr>
      </w:pPr>
    </w:p>
    <w:p w:rsidR="00723172" w:rsidRPr="00612443" w:rsidRDefault="000D18E6" w:rsidP="001D4AD7">
      <w:pPr>
        <w:spacing w:before="60"/>
        <w:ind w:firstLine="360"/>
        <w:rPr>
          <w:rFonts w:ascii="Palatino Linotype" w:hAnsi="Palatino Linotype"/>
          <w:i/>
          <w:sz w:val="22"/>
          <w:szCs w:val="22"/>
          <w:lang w:val="en-US"/>
        </w:rPr>
      </w:pPr>
      <w:r w:rsidRPr="00612443">
        <w:rPr>
          <w:rFonts w:ascii="Palatino Linotype" w:hAnsi="Palatino Linotype"/>
          <w:sz w:val="22"/>
          <w:szCs w:val="22"/>
          <w:lang w:val="en-US"/>
        </w:rPr>
        <w:t>We are interested in the following joint system of equations:</w:t>
      </w:r>
    </w:p>
    <w:p w:rsidR="00723172" w:rsidRPr="00612443" w:rsidRDefault="00723172" w:rsidP="00723172">
      <w:pPr>
        <w:spacing w:before="60"/>
        <w:ind w:firstLine="360"/>
        <w:jc w:val="center"/>
        <w:rPr>
          <w:rFonts w:ascii="Palatino Linotype" w:hAnsi="Palatino Linotype"/>
          <w:i/>
          <w:sz w:val="22"/>
          <w:szCs w:val="22"/>
          <w:lang w:val="en-US"/>
        </w:rPr>
      </w:pPr>
    </w:p>
    <w:p w:rsidR="00723172" w:rsidRPr="00612443" w:rsidRDefault="00723172" w:rsidP="00723172">
      <w:pPr>
        <w:spacing w:before="60"/>
        <w:ind w:firstLine="360"/>
        <w:jc w:val="center"/>
        <w:rPr>
          <w:rFonts w:ascii="Palatino Linotype" w:hAnsi="Palatino Linotype"/>
          <w:sz w:val="22"/>
          <w:szCs w:val="22"/>
          <w:lang w:val="en-US"/>
        </w:rPr>
      </w:pPr>
      <m:oMath>
        <m:r>
          <w:rPr>
            <w:rFonts w:ascii="Cambria Math" w:hAnsi="Cambria Math"/>
            <w:sz w:val="22"/>
            <w:szCs w:val="22"/>
            <w:lang w:val="en-US"/>
          </w:rPr>
          <m:t>∆</m:t>
        </m:r>
        <m:d>
          <m:dPr>
            <m:begChr m:val="["/>
            <m:endChr m:val="]"/>
            <m:ctrlPr>
              <w:rPr>
                <w:rFonts w:ascii="Cambria Math" w:hAnsi="Cambria Math"/>
                <w:i/>
                <w:sz w:val="22"/>
                <w:szCs w:val="22"/>
                <w:lang w:val="en-US"/>
              </w:rPr>
            </m:ctrlPr>
          </m:dPr>
          <m:e>
            <m:r>
              <w:rPr>
                <w:rFonts w:ascii="Cambria Math" w:hAnsi="Cambria Math"/>
                <w:sz w:val="22"/>
                <w:szCs w:val="22"/>
                <w:lang w:val="en-US"/>
              </w:rPr>
              <m:t xml:space="preserve"> </m:t>
            </m:r>
            <m:sSubSup>
              <m:sSubSupPr>
                <m:ctrlPr>
                  <w:rPr>
                    <w:rFonts w:ascii="Cambria Math" w:hAnsi="Cambria Math"/>
                    <w:i/>
                    <w:sz w:val="22"/>
                    <w:szCs w:val="22"/>
                    <w:lang w:val="en-US"/>
                  </w:rPr>
                </m:ctrlPr>
              </m:sSubSupPr>
              <m:e>
                <m:r>
                  <w:rPr>
                    <w:rFonts w:ascii="Cambria Math" w:hAnsi="Cambria Math"/>
                    <w:sz w:val="22"/>
                    <w:szCs w:val="22"/>
                    <w:lang w:val="en-US"/>
                  </w:rPr>
                  <m:t>π</m:t>
                </m:r>
              </m:e>
              <m:sub>
                <m:r>
                  <w:rPr>
                    <w:rFonts w:ascii="Cambria Math" w:hAnsi="Cambria Math"/>
                    <w:sz w:val="22"/>
                    <w:szCs w:val="22"/>
                    <w:lang w:val="en-US"/>
                  </w:rPr>
                  <m:t>it</m:t>
                </m:r>
              </m:sub>
              <m:sup>
                <m:r>
                  <w:rPr>
                    <w:rFonts w:ascii="Cambria Math" w:hAnsi="Cambria Math"/>
                    <w:sz w:val="22"/>
                    <w:szCs w:val="22"/>
                    <w:lang w:val="en-US"/>
                  </w:rPr>
                  <m:t>e</m:t>
                </m:r>
              </m:sup>
            </m:sSubSup>
            <m:d>
              <m:dPr>
                <m:ctrlPr>
                  <w:rPr>
                    <w:rFonts w:ascii="Cambria Math" w:hAnsi="Cambria Math"/>
                    <w:i/>
                    <w:sz w:val="22"/>
                    <w:szCs w:val="22"/>
                    <w:lang w:val="en-US"/>
                  </w:rPr>
                </m:ctrlPr>
              </m:dPr>
              <m:e>
                <m:r>
                  <w:rPr>
                    <w:rFonts w:ascii="Cambria Math" w:hAnsi="Cambria Math"/>
                    <w:sz w:val="22"/>
                    <w:szCs w:val="22"/>
                    <w:lang w:val="en-US"/>
                  </w:rPr>
                  <m:t>h</m:t>
                </m:r>
              </m:e>
            </m:d>
          </m:e>
        </m:d>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δ</m:t>
            </m:r>
          </m:e>
          <m:sub>
            <m:r>
              <w:rPr>
                <w:rFonts w:ascii="Cambria Math" w:hAnsi="Cambria Math"/>
                <w:sz w:val="22"/>
                <w:szCs w:val="22"/>
                <w:lang w:val="en-US"/>
              </w:rPr>
              <m:t>ih</m:t>
            </m:r>
          </m:sub>
        </m:sSub>
        <m:d>
          <m:dPr>
            <m:begChr m:val="["/>
            <m:endChr m:val="]"/>
            <m:ctrlPr>
              <w:rPr>
                <w:rFonts w:ascii="Cambria Math" w:hAnsi="Cambria Math"/>
                <w:i/>
                <w:sz w:val="22"/>
                <w:szCs w:val="22"/>
                <w:lang w:val="en-US"/>
              </w:rPr>
            </m:ctrlPr>
          </m:dPr>
          <m:e>
            <m:r>
              <w:rPr>
                <w:rFonts w:ascii="Cambria Math" w:hAnsi="Cambria Math"/>
                <w:sz w:val="22"/>
                <w:szCs w:val="22"/>
                <w:lang w:val="en-US"/>
              </w:rPr>
              <m:t>∆</m:t>
            </m:r>
            <m:sSubSup>
              <m:sSubSupPr>
                <m:ctrlPr>
                  <w:rPr>
                    <w:rFonts w:ascii="Cambria Math" w:hAnsi="Cambria Math"/>
                    <w:i/>
                    <w:sz w:val="22"/>
                    <w:szCs w:val="22"/>
                    <w:lang w:val="en-US"/>
                  </w:rPr>
                </m:ctrlPr>
              </m:sSubSupPr>
              <m:e>
                <m:r>
                  <w:rPr>
                    <w:rFonts w:ascii="Cambria Math" w:hAnsi="Cambria Math"/>
                    <w:sz w:val="22"/>
                    <w:szCs w:val="22"/>
                    <w:lang w:val="en-US"/>
                  </w:rPr>
                  <m:t>π</m:t>
                </m:r>
              </m:e>
              <m:sub>
                <m:r>
                  <w:rPr>
                    <w:rFonts w:ascii="Cambria Math" w:hAnsi="Cambria Math"/>
                    <w:sz w:val="22"/>
                    <w:szCs w:val="22"/>
                    <w:lang w:val="en-US"/>
                  </w:rPr>
                  <m:t>it-1</m:t>
                </m:r>
              </m:sub>
              <m:sup>
                <m:r>
                  <w:rPr>
                    <w:rFonts w:ascii="Cambria Math" w:hAnsi="Cambria Math"/>
                    <w:sz w:val="22"/>
                    <w:szCs w:val="22"/>
                    <w:lang w:val="en-US"/>
                  </w:rPr>
                  <m:t>e</m:t>
                </m:r>
              </m:sup>
            </m:sSubSup>
            <m:d>
              <m:dPr>
                <m:ctrlPr>
                  <w:rPr>
                    <w:rFonts w:ascii="Cambria Math" w:hAnsi="Cambria Math"/>
                    <w:i/>
                    <w:sz w:val="22"/>
                    <w:szCs w:val="22"/>
                    <w:lang w:val="en-US"/>
                  </w:rPr>
                </m:ctrlPr>
              </m:dPr>
              <m:e>
                <m:r>
                  <w:rPr>
                    <w:rFonts w:ascii="Cambria Math" w:hAnsi="Cambria Math"/>
                    <w:sz w:val="22"/>
                    <w:szCs w:val="22"/>
                    <w:lang w:val="en-US"/>
                  </w:rPr>
                  <m:t>h</m:t>
                </m:r>
              </m:e>
            </m:d>
          </m:e>
        </m:d>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m:t>
            </m:r>
            <m:sSub>
              <m:sSubPr>
                <m:ctrlPr>
                  <w:rPr>
                    <w:rFonts w:ascii="Cambria Math" w:hAnsi="Cambria Math"/>
                    <w:i/>
                    <w:sz w:val="22"/>
                    <w:szCs w:val="22"/>
                    <w:lang w:val="en-US"/>
                  </w:rPr>
                </m:ctrlPr>
              </m:sSubPr>
              <m:e>
                <m:sSup>
                  <m:sSupPr>
                    <m:ctrlPr>
                      <w:rPr>
                        <w:rFonts w:ascii="Cambria Math" w:hAnsi="Cambria Math"/>
                        <w:i/>
                        <w:sz w:val="22"/>
                        <w:szCs w:val="22"/>
                        <w:lang w:val="en-US"/>
                      </w:rPr>
                    </m:ctrlPr>
                  </m:sSupPr>
                  <m:e>
                    <m:r>
                      <w:rPr>
                        <w:rFonts w:ascii="Cambria Math" w:hAnsi="Cambria Math"/>
                        <w:sz w:val="22"/>
                        <w:szCs w:val="22"/>
                        <w:lang w:val="en-US"/>
                      </w:rPr>
                      <m:t>X</m:t>
                    </m:r>
                  </m:e>
                  <m:sup>
                    <m:r>
                      <w:rPr>
                        <w:rFonts w:ascii="Cambria Math" w:hAnsi="Cambria Math"/>
                        <w:sz w:val="22"/>
                        <w:szCs w:val="22"/>
                        <w:lang w:val="en-US"/>
                      </w:rPr>
                      <m:t>'</m:t>
                    </m:r>
                  </m:sup>
                </m:sSup>
              </m:e>
              <m:sub>
                <m:r>
                  <w:rPr>
                    <w:rFonts w:ascii="Cambria Math" w:hAnsi="Cambria Math"/>
                    <w:sz w:val="22"/>
                    <w:szCs w:val="22"/>
                    <w:lang w:val="en-US"/>
                  </w:rPr>
                  <m:t>t-1</m:t>
                </m:r>
              </m:sub>
            </m:sSub>
            <m:r>
              <w:rPr>
                <w:rFonts w:ascii="Cambria Math" w:hAnsi="Cambria Math"/>
                <w:sz w:val="22"/>
                <w:szCs w:val="22"/>
                <w:lang w:val="en-US"/>
              </w:rPr>
              <m:t>β</m:t>
            </m:r>
          </m:e>
          <m:sub>
            <m:r>
              <w:rPr>
                <w:rFonts w:ascii="Cambria Math" w:hAnsi="Cambria Math"/>
                <w:sz w:val="22"/>
                <w:szCs w:val="22"/>
                <w:lang w:val="en-US"/>
              </w:rPr>
              <m:t>ih</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γ</m:t>
            </m:r>
          </m:e>
          <m:sub>
            <m:r>
              <w:rPr>
                <w:rFonts w:ascii="Cambria Math" w:hAnsi="Cambria Math"/>
                <w:sz w:val="22"/>
                <w:szCs w:val="22"/>
                <w:lang w:val="en-US"/>
              </w:rPr>
              <m:t>ih</m:t>
            </m:r>
          </m:sub>
        </m:sSub>
        <m:sSub>
          <m:sSubPr>
            <m:ctrlPr>
              <w:rPr>
                <w:rFonts w:ascii="Cambria Math" w:hAnsi="Cambria Math"/>
                <w:i/>
                <w:sz w:val="22"/>
                <w:szCs w:val="22"/>
                <w:lang w:val="en-US"/>
              </w:rPr>
            </m:ctrlPr>
          </m:sSubPr>
          <m:e>
            <m:r>
              <w:rPr>
                <w:rFonts w:ascii="Cambria Math" w:hAnsi="Cambria Math"/>
                <w:sz w:val="22"/>
                <w:szCs w:val="22"/>
                <w:lang w:val="en-US"/>
              </w:rPr>
              <m:t>∆M</m:t>
            </m:r>
          </m:e>
          <m:sub>
            <m:r>
              <w:rPr>
                <w:rFonts w:ascii="Cambria Math" w:hAnsi="Cambria Math"/>
                <w:sz w:val="22"/>
                <w:szCs w:val="22"/>
                <w:lang w:val="en-US"/>
              </w:rPr>
              <m:t>t-1</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m:t>
            </m:r>
          </m:e>
          <m:sub>
            <m:r>
              <w:rPr>
                <w:rFonts w:ascii="Cambria Math" w:hAnsi="Cambria Math"/>
                <w:sz w:val="22"/>
                <w:szCs w:val="22"/>
                <w:lang w:val="en-US"/>
              </w:rPr>
              <m:t>ih</m:t>
            </m:r>
          </m:sub>
        </m:sSub>
        <m:d>
          <m:dPr>
            <m:ctrlPr>
              <w:rPr>
                <w:rFonts w:ascii="Cambria Math" w:hAnsi="Cambria Math"/>
                <w:i/>
                <w:sz w:val="22"/>
                <w:szCs w:val="22"/>
                <w:lang w:val="en-US"/>
              </w:rPr>
            </m:ctrlPr>
          </m:dPr>
          <m:e>
            <m:r>
              <w:rPr>
                <w:rFonts w:ascii="Cambria Math" w:hAnsi="Cambria Math"/>
                <w:sz w:val="22"/>
                <w:szCs w:val="22"/>
                <w:lang w:val="en-US"/>
              </w:rPr>
              <m:t>B</m:t>
            </m:r>
          </m:e>
        </m:d>
        <m:sSub>
          <m:sSubPr>
            <m:ctrlPr>
              <w:rPr>
                <w:rFonts w:ascii="Cambria Math" w:hAnsi="Cambria Math"/>
                <w:i/>
                <w:sz w:val="22"/>
                <w:szCs w:val="22"/>
                <w:lang w:val="en-US"/>
              </w:rPr>
            </m:ctrlPr>
          </m:sSubPr>
          <m:e>
            <m:r>
              <w:rPr>
                <w:rFonts w:ascii="Cambria Math" w:hAnsi="Cambria Math"/>
                <w:sz w:val="22"/>
                <w:szCs w:val="22"/>
                <w:lang w:val="en-US"/>
              </w:rPr>
              <m:t>ε</m:t>
            </m:r>
          </m:e>
          <m:sub>
            <m:r>
              <w:rPr>
                <w:rFonts w:ascii="Cambria Math" w:hAnsi="Cambria Math"/>
                <w:sz w:val="22"/>
                <w:szCs w:val="22"/>
                <w:lang w:val="en-US"/>
              </w:rPr>
              <m:t>iht</m:t>
            </m:r>
          </m:sub>
        </m:sSub>
        <m:r>
          <w:rPr>
            <w:rFonts w:ascii="Cambria Math" w:hAnsi="Cambria Math"/>
            <w:sz w:val="22"/>
            <w:szCs w:val="22"/>
            <w:lang w:val="en-US"/>
          </w:rPr>
          <m:t>,    i=1,…,9</m:t>
        </m:r>
      </m:oMath>
      <w:r w:rsidRPr="00612443">
        <w:rPr>
          <w:rFonts w:ascii="Palatino Linotype" w:hAnsi="Palatino Linotype"/>
          <w:sz w:val="22"/>
          <w:szCs w:val="22"/>
          <w:lang w:val="en-US"/>
        </w:rPr>
        <w:t xml:space="preserve">    (</w:t>
      </w:r>
      <w:r w:rsidR="00FF1969">
        <w:rPr>
          <w:rFonts w:ascii="Palatino Linotype" w:hAnsi="Palatino Linotype"/>
          <w:sz w:val="22"/>
          <w:szCs w:val="22"/>
          <w:lang w:val="en-US"/>
        </w:rPr>
        <w:t>3</w:t>
      </w:r>
      <w:r w:rsidRPr="00612443">
        <w:rPr>
          <w:rFonts w:ascii="Palatino Linotype" w:hAnsi="Palatino Linotype"/>
          <w:sz w:val="22"/>
          <w:szCs w:val="22"/>
          <w:lang w:val="en-US"/>
        </w:rPr>
        <w:t>)</w:t>
      </w:r>
    </w:p>
    <w:p w:rsidR="00E327EA" w:rsidRPr="00612443" w:rsidRDefault="00E327EA">
      <w:pPr>
        <w:ind w:firstLine="300"/>
        <w:rPr>
          <w:rFonts w:ascii="Palatino Linotype" w:hAnsi="Palatino Linotype"/>
          <w:sz w:val="22"/>
          <w:szCs w:val="22"/>
          <w:lang w:val="en-US"/>
        </w:rPr>
      </w:pPr>
    </w:p>
    <w:p w:rsidR="00D67271" w:rsidRPr="00612443" w:rsidRDefault="00331D0A">
      <w:pPr>
        <w:ind w:firstLine="300"/>
        <w:rPr>
          <w:rFonts w:ascii="Palatino Linotype" w:hAnsi="Palatino Linotype"/>
          <w:sz w:val="22"/>
          <w:szCs w:val="22"/>
          <w:lang w:val="en-US"/>
        </w:rPr>
      </w:pPr>
      <w:r w:rsidRPr="00612443">
        <w:rPr>
          <w:rFonts w:ascii="Palatino Linotype" w:hAnsi="Palatino Linotype"/>
          <w:sz w:val="22"/>
          <w:szCs w:val="22"/>
          <w:lang w:val="en-US"/>
        </w:rPr>
        <w:lastRenderedPageBreak/>
        <w:t>w</w:t>
      </w:r>
      <w:r w:rsidR="000D18E6" w:rsidRPr="00612443">
        <w:rPr>
          <w:rFonts w:ascii="Palatino Linotype" w:hAnsi="Palatino Linotype"/>
          <w:sz w:val="22"/>
          <w:szCs w:val="22"/>
          <w:lang w:val="en-US"/>
        </w:rPr>
        <w:t>here</w:t>
      </w:r>
      <w:r w:rsidRPr="00612443">
        <w:rPr>
          <w:rFonts w:ascii="Palatino Linotype" w:hAnsi="Palatino Linotype"/>
          <w:sz w:val="22"/>
          <w:szCs w:val="22"/>
          <w:lang w:val="en-U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7371"/>
      </w:tblGrid>
      <w:tr w:rsidR="00331D0A" w:rsidRPr="00612443" w:rsidTr="00331D0A">
        <w:tc>
          <w:tcPr>
            <w:tcW w:w="1384" w:type="dxa"/>
            <w:vAlign w:val="center"/>
          </w:tcPr>
          <w:p w:rsidR="00331D0A" w:rsidRPr="00612443" w:rsidRDefault="00331D0A" w:rsidP="00331D0A">
            <w:pPr>
              <w:jc w:val="right"/>
              <w:rPr>
                <w:rFonts w:ascii="Palatino Linotype" w:hAnsi="Palatino Linotype"/>
                <w:sz w:val="22"/>
                <w:szCs w:val="22"/>
                <w:lang w:val="en-US"/>
              </w:rPr>
            </w:pPr>
            <w:r w:rsidRPr="00612443">
              <w:rPr>
                <w:rFonts w:ascii="Palatino Linotype" w:hAnsi="Palatino Linotype"/>
                <w:position w:val="-12"/>
                <w:lang w:val="en-US"/>
              </w:rPr>
              <w:object w:dxaOrig="620" w:dyaOrig="380">
                <v:shape id="_x0000_i1027" type="#_x0000_t75" style="width:31.5pt;height:18.75pt" o:ole="">
                  <v:imagedata r:id="rId16" o:title=""/>
                </v:shape>
                <o:OLEObject Type="Embed" ProgID="Equation.DSMT4" ShapeID="_x0000_i1027" DrawAspect="Content" ObjectID="_1552495463" r:id="rId17"/>
              </w:object>
            </w:r>
            <w:r w:rsidRPr="00612443">
              <w:rPr>
                <w:rFonts w:ascii="Palatino Linotype" w:hAnsi="Palatino Linotype"/>
                <w:lang w:val="en-US"/>
              </w:rPr>
              <w:t>:</w:t>
            </w:r>
          </w:p>
        </w:tc>
        <w:tc>
          <w:tcPr>
            <w:tcW w:w="7371" w:type="dxa"/>
            <w:vAlign w:val="center"/>
          </w:tcPr>
          <w:p w:rsidR="00331D0A" w:rsidRPr="00612443" w:rsidRDefault="00331D0A" w:rsidP="00331D0A">
            <w:pPr>
              <w:jc w:val="left"/>
              <w:rPr>
                <w:rFonts w:ascii="Palatino Linotype" w:hAnsi="Palatino Linotype"/>
                <w:sz w:val="22"/>
                <w:szCs w:val="22"/>
                <w:lang w:val="en-US"/>
              </w:rPr>
            </w:pPr>
            <w:r w:rsidRPr="00612443">
              <w:rPr>
                <w:rFonts w:ascii="Palatino Linotype" w:hAnsi="Palatino Linotype"/>
                <w:sz w:val="22"/>
                <w:szCs w:val="22"/>
                <w:lang w:val="en-US"/>
              </w:rPr>
              <w:t xml:space="preserve">Inflation expectation decile </w:t>
            </w:r>
            <w:r w:rsidRPr="00612443">
              <w:rPr>
                <w:rFonts w:ascii="Palatino Linotype" w:hAnsi="Palatino Linotype"/>
                <w:position w:val="-10"/>
                <w:sz w:val="22"/>
                <w:szCs w:val="22"/>
                <w:lang w:val="en-US"/>
              </w:rPr>
              <w:object w:dxaOrig="1080" w:dyaOrig="320">
                <v:shape id="_x0000_i1028" type="#_x0000_t75" style="width:54pt;height:16.5pt" o:ole="">
                  <v:imagedata r:id="rId18" o:title=""/>
                </v:shape>
                <o:OLEObject Type="Embed" ProgID="Equation.DSMT4" ShapeID="_x0000_i1028" DrawAspect="Content" ObjectID="_1552495464" r:id="rId19"/>
              </w:object>
            </w:r>
            <w:r w:rsidRPr="00612443">
              <w:rPr>
                <w:rFonts w:ascii="Palatino Linotype" w:hAnsi="Palatino Linotype"/>
                <w:sz w:val="22"/>
                <w:szCs w:val="22"/>
                <w:lang w:val="en-US"/>
              </w:rPr>
              <w:t xml:space="preserve"> at time </w:t>
            </w:r>
            <w:r w:rsidRPr="00612443">
              <w:rPr>
                <w:rFonts w:ascii="Palatino Linotype" w:hAnsi="Palatino Linotype"/>
                <w:i/>
                <w:sz w:val="22"/>
                <w:szCs w:val="22"/>
                <w:lang w:val="en-US"/>
              </w:rPr>
              <w:t>t</w:t>
            </w:r>
            <w:r w:rsidRPr="00612443">
              <w:rPr>
                <w:rFonts w:ascii="Palatino Linotype" w:hAnsi="Palatino Linotype"/>
                <w:sz w:val="22"/>
                <w:szCs w:val="22"/>
                <w:lang w:val="en-US"/>
              </w:rPr>
              <w:t xml:space="preserve"> for horizon </w:t>
            </w:r>
            <w:r w:rsidRPr="00612443">
              <w:rPr>
                <w:rFonts w:ascii="Palatino Linotype" w:hAnsi="Palatino Linotype"/>
                <w:i/>
                <w:sz w:val="22"/>
                <w:szCs w:val="22"/>
                <w:lang w:val="en-US"/>
              </w:rPr>
              <w:t>t+h</w:t>
            </w:r>
          </w:p>
        </w:tc>
      </w:tr>
      <w:tr w:rsidR="00331D0A" w:rsidRPr="00612443" w:rsidTr="00331D0A">
        <w:tc>
          <w:tcPr>
            <w:tcW w:w="1384" w:type="dxa"/>
            <w:vAlign w:val="center"/>
          </w:tcPr>
          <w:p w:rsidR="00331D0A" w:rsidRPr="00612443" w:rsidRDefault="00331D0A" w:rsidP="00331D0A">
            <w:pPr>
              <w:jc w:val="right"/>
              <w:rPr>
                <w:rFonts w:ascii="Palatino Linotype" w:hAnsi="Palatino Linotype"/>
                <w:sz w:val="22"/>
                <w:szCs w:val="22"/>
                <w:lang w:val="en-US"/>
              </w:rPr>
            </w:pPr>
            <w:r w:rsidRPr="00612443">
              <w:rPr>
                <w:rFonts w:ascii="Palatino Linotype" w:hAnsi="Palatino Linotype"/>
                <w:position w:val="-12"/>
                <w:lang w:val="en-US"/>
              </w:rPr>
              <w:object w:dxaOrig="480" w:dyaOrig="360">
                <v:shape id="_x0000_i1029" type="#_x0000_t75" style="width:24pt;height:18pt" o:ole="">
                  <v:imagedata r:id="rId20" o:title=""/>
                </v:shape>
                <o:OLEObject Type="Embed" ProgID="Equation.DSMT4" ShapeID="_x0000_i1029" DrawAspect="Content" ObjectID="_1552495465" r:id="rId21"/>
              </w:object>
            </w:r>
            <w:r w:rsidRPr="00612443">
              <w:rPr>
                <w:rFonts w:ascii="Palatino Linotype" w:hAnsi="Palatino Linotype"/>
                <w:lang w:val="en-US"/>
              </w:rPr>
              <w:t>:</w:t>
            </w:r>
          </w:p>
        </w:tc>
        <w:tc>
          <w:tcPr>
            <w:tcW w:w="7371" w:type="dxa"/>
            <w:vAlign w:val="center"/>
          </w:tcPr>
          <w:p w:rsidR="00331D0A" w:rsidRPr="00612443" w:rsidRDefault="00331D0A" w:rsidP="00331D0A">
            <w:pPr>
              <w:jc w:val="left"/>
              <w:rPr>
                <w:rFonts w:ascii="Palatino Linotype" w:hAnsi="Palatino Linotype"/>
                <w:sz w:val="22"/>
                <w:szCs w:val="22"/>
                <w:lang w:val="en-US"/>
              </w:rPr>
            </w:pPr>
            <w:r w:rsidRPr="00612443">
              <w:rPr>
                <w:rFonts w:ascii="Palatino Linotype" w:hAnsi="Palatino Linotype"/>
                <w:sz w:val="22"/>
                <w:szCs w:val="22"/>
                <w:lang w:val="en-US"/>
              </w:rPr>
              <w:t xml:space="preserve">Monthly </w:t>
            </w:r>
            <w:r w:rsidR="009562E2" w:rsidRPr="00612443">
              <w:rPr>
                <w:rFonts w:ascii="Palatino Linotype" w:hAnsi="Palatino Linotype"/>
                <w:sz w:val="22"/>
                <w:szCs w:val="22"/>
                <w:lang w:val="en-US"/>
              </w:rPr>
              <w:t>i</w:t>
            </w:r>
            <w:r w:rsidRPr="00612443">
              <w:rPr>
                <w:rFonts w:ascii="Palatino Linotype" w:hAnsi="Palatino Linotype"/>
                <w:sz w:val="22"/>
                <w:szCs w:val="22"/>
                <w:lang w:val="en-US"/>
              </w:rPr>
              <w:t>nterventions in billions of US dollars</w:t>
            </w:r>
          </w:p>
        </w:tc>
      </w:tr>
      <w:tr w:rsidR="00331D0A" w:rsidRPr="00612443" w:rsidTr="00331D0A">
        <w:tc>
          <w:tcPr>
            <w:tcW w:w="1384" w:type="dxa"/>
            <w:vAlign w:val="center"/>
          </w:tcPr>
          <w:p w:rsidR="00331D0A" w:rsidRPr="00612443" w:rsidRDefault="00331D0A" w:rsidP="00331D0A">
            <w:pPr>
              <w:jc w:val="right"/>
              <w:rPr>
                <w:rFonts w:ascii="Palatino Linotype" w:hAnsi="Palatino Linotype"/>
                <w:sz w:val="22"/>
                <w:szCs w:val="22"/>
                <w:lang w:val="en-US"/>
              </w:rPr>
            </w:pPr>
            <w:r w:rsidRPr="00612443">
              <w:rPr>
                <w:rFonts w:ascii="Palatino Linotype" w:hAnsi="Palatino Linotype"/>
                <w:position w:val="-12"/>
                <w:lang w:val="en-US"/>
              </w:rPr>
              <w:object w:dxaOrig="440" w:dyaOrig="380">
                <v:shape id="_x0000_i1030" type="#_x0000_t75" style="width:21.75pt;height:18.75pt" o:ole="">
                  <v:imagedata r:id="rId22" o:title=""/>
                </v:shape>
                <o:OLEObject Type="Embed" ProgID="Equation.DSMT4" ShapeID="_x0000_i1030" DrawAspect="Content" ObjectID="_1552495466" r:id="rId23"/>
              </w:object>
            </w:r>
            <w:r w:rsidRPr="00612443">
              <w:rPr>
                <w:rFonts w:ascii="Palatino Linotype" w:hAnsi="Palatino Linotype"/>
                <w:lang w:val="en-US"/>
              </w:rPr>
              <w:t>:</w:t>
            </w:r>
          </w:p>
        </w:tc>
        <w:tc>
          <w:tcPr>
            <w:tcW w:w="7371" w:type="dxa"/>
            <w:vAlign w:val="center"/>
          </w:tcPr>
          <w:p w:rsidR="00331D0A" w:rsidRPr="00612443" w:rsidRDefault="00331D0A" w:rsidP="00331D0A">
            <w:pPr>
              <w:jc w:val="left"/>
              <w:rPr>
                <w:rFonts w:ascii="Palatino Linotype" w:hAnsi="Palatino Linotype"/>
                <w:sz w:val="22"/>
                <w:szCs w:val="22"/>
                <w:lang w:val="en-US"/>
              </w:rPr>
            </w:pPr>
            <w:r w:rsidRPr="00612443">
              <w:rPr>
                <w:rFonts w:ascii="Palatino Linotype" w:hAnsi="Palatino Linotype"/>
                <w:sz w:val="22"/>
                <w:szCs w:val="22"/>
                <w:lang w:val="en-US"/>
              </w:rPr>
              <w:t>Covariates</w:t>
            </w:r>
          </w:p>
        </w:tc>
      </w:tr>
      <w:tr w:rsidR="00331D0A" w:rsidRPr="00612443" w:rsidTr="00331D0A">
        <w:tc>
          <w:tcPr>
            <w:tcW w:w="1384" w:type="dxa"/>
            <w:vAlign w:val="center"/>
          </w:tcPr>
          <w:p w:rsidR="00331D0A" w:rsidRPr="00612443" w:rsidRDefault="006950B1" w:rsidP="009D7902">
            <w:pPr>
              <w:jc w:val="right"/>
              <w:rPr>
                <w:rFonts w:ascii="Palatino Linotype" w:hAnsi="Palatino Linotype"/>
                <w:sz w:val="22"/>
                <w:szCs w:val="22"/>
                <w:lang w:val="en-US"/>
              </w:rPr>
            </w:pPr>
            <m:oMath>
              <m:sSub>
                <m:sSubPr>
                  <m:ctrlPr>
                    <w:rPr>
                      <w:rFonts w:ascii="Cambria Math" w:hAnsi="Cambria Math"/>
                      <w:i/>
                      <w:sz w:val="22"/>
                      <w:szCs w:val="22"/>
                      <w:lang w:val="en-US"/>
                    </w:rPr>
                  </m:ctrlPr>
                </m:sSubPr>
                <m:e>
                  <m:r>
                    <w:rPr>
                      <w:rFonts w:ascii="Cambria Math" w:hAnsi="Cambria Math"/>
                      <w:sz w:val="22"/>
                      <w:szCs w:val="22"/>
                      <w:lang w:val="en-US"/>
                    </w:rPr>
                    <m:t>∅</m:t>
                  </m:r>
                </m:e>
                <m:sub>
                  <m:r>
                    <w:rPr>
                      <w:rFonts w:ascii="Cambria Math" w:hAnsi="Cambria Math"/>
                      <w:sz w:val="22"/>
                      <w:szCs w:val="22"/>
                      <w:lang w:val="en-US"/>
                    </w:rPr>
                    <m:t>ih</m:t>
                  </m:r>
                </m:sub>
              </m:sSub>
              <m:d>
                <m:dPr>
                  <m:ctrlPr>
                    <w:rPr>
                      <w:rFonts w:ascii="Cambria Math" w:hAnsi="Cambria Math"/>
                      <w:i/>
                      <w:sz w:val="22"/>
                      <w:szCs w:val="22"/>
                      <w:lang w:val="en-US"/>
                    </w:rPr>
                  </m:ctrlPr>
                </m:dPr>
                <m:e>
                  <m:r>
                    <w:rPr>
                      <w:rFonts w:ascii="Cambria Math" w:hAnsi="Cambria Math"/>
                      <w:sz w:val="22"/>
                      <w:szCs w:val="22"/>
                      <w:lang w:val="en-US"/>
                    </w:rPr>
                    <m:t>B</m:t>
                  </m:r>
                </m:e>
              </m:d>
            </m:oMath>
            <w:r w:rsidR="00331D0A" w:rsidRPr="00612443">
              <w:rPr>
                <w:rFonts w:ascii="Palatino Linotype" w:hAnsi="Palatino Linotype"/>
                <w:lang w:val="en-US"/>
              </w:rPr>
              <w:t>:</w:t>
            </w:r>
          </w:p>
        </w:tc>
        <w:tc>
          <w:tcPr>
            <w:tcW w:w="7371" w:type="dxa"/>
            <w:vAlign w:val="center"/>
          </w:tcPr>
          <w:p w:rsidR="00331D0A" w:rsidRPr="00612443" w:rsidRDefault="00D473C4" w:rsidP="00D473C4">
            <w:pPr>
              <w:jc w:val="left"/>
              <w:rPr>
                <w:rFonts w:ascii="Palatino Linotype" w:hAnsi="Palatino Linotype"/>
                <w:sz w:val="22"/>
                <w:szCs w:val="22"/>
                <w:lang w:val="en-US"/>
              </w:rPr>
            </w:pPr>
            <w:r w:rsidRPr="00612443">
              <w:rPr>
                <w:rFonts w:ascii="Palatino Linotype" w:hAnsi="Palatino Linotype"/>
                <w:sz w:val="22"/>
                <w:szCs w:val="22"/>
                <w:lang w:val="en-US"/>
              </w:rPr>
              <w:t>Moving a</w:t>
            </w:r>
            <w:r w:rsidR="00703DB5" w:rsidRPr="00612443">
              <w:rPr>
                <w:rFonts w:ascii="Palatino Linotype" w:hAnsi="Palatino Linotype"/>
                <w:sz w:val="22"/>
                <w:szCs w:val="22"/>
                <w:lang w:val="en-US"/>
              </w:rPr>
              <w:t xml:space="preserve">verage </w:t>
            </w:r>
            <w:r w:rsidRPr="00612443">
              <w:rPr>
                <w:rFonts w:ascii="Palatino Linotype" w:hAnsi="Palatino Linotype"/>
                <w:sz w:val="22"/>
                <w:szCs w:val="22"/>
                <w:lang w:val="en-US"/>
              </w:rPr>
              <w:t>o</w:t>
            </w:r>
            <w:r w:rsidR="00703DB5" w:rsidRPr="00612443">
              <w:rPr>
                <w:rFonts w:ascii="Palatino Linotype" w:hAnsi="Palatino Linotype"/>
                <w:sz w:val="22"/>
                <w:szCs w:val="22"/>
                <w:lang w:val="en-US"/>
              </w:rPr>
              <w:t>perator</w:t>
            </w:r>
          </w:p>
        </w:tc>
      </w:tr>
      <w:tr w:rsidR="00331D0A" w:rsidRPr="00612443" w:rsidTr="00331D0A">
        <w:tc>
          <w:tcPr>
            <w:tcW w:w="1384" w:type="dxa"/>
            <w:vAlign w:val="center"/>
          </w:tcPr>
          <w:p w:rsidR="00331D0A" w:rsidRPr="00612443" w:rsidRDefault="00331D0A" w:rsidP="00331D0A">
            <w:pPr>
              <w:jc w:val="right"/>
              <w:rPr>
                <w:rFonts w:ascii="Palatino Linotype" w:hAnsi="Palatino Linotype"/>
                <w:sz w:val="22"/>
                <w:szCs w:val="22"/>
                <w:lang w:val="en-US"/>
              </w:rPr>
            </w:pPr>
            <w:r w:rsidRPr="00612443">
              <w:rPr>
                <w:rFonts w:ascii="Palatino Linotype" w:hAnsi="Palatino Linotype"/>
                <w:position w:val="-4"/>
                <w:lang w:val="en-US"/>
              </w:rPr>
              <w:object w:dxaOrig="220" w:dyaOrig="260">
                <v:shape id="_x0000_i1031" type="#_x0000_t75" style="width:11.25pt;height:13.5pt" o:ole="">
                  <v:imagedata r:id="rId24" o:title=""/>
                </v:shape>
                <o:OLEObject Type="Embed" ProgID="Equation.DSMT4" ShapeID="_x0000_i1031" DrawAspect="Content" ObjectID="_1552495467" r:id="rId25"/>
              </w:object>
            </w:r>
            <w:r w:rsidRPr="00612443">
              <w:rPr>
                <w:rFonts w:ascii="Palatino Linotype" w:hAnsi="Palatino Linotype"/>
                <w:lang w:val="en-US"/>
              </w:rPr>
              <w:t>:</w:t>
            </w:r>
          </w:p>
        </w:tc>
        <w:tc>
          <w:tcPr>
            <w:tcW w:w="7371" w:type="dxa"/>
            <w:vAlign w:val="center"/>
          </w:tcPr>
          <w:p w:rsidR="00331D0A" w:rsidRPr="00612443" w:rsidRDefault="00331D0A" w:rsidP="00331D0A">
            <w:pPr>
              <w:jc w:val="left"/>
              <w:rPr>
                <w:rFonts w:ascii="Palatino Linotype" w:hAnsi="Palatino Linotype"/>
                <w:sz w:val="22"/>
                <w:szCs w:val="22"/>
                <w:lang w:val="en-US"/>
              </w:rPr>
            </w:pPr>
            <w:r w:rsidRPr="00612443">
              <w:rPr>
                <w:rFonts w:ascii="Palatino Linotype" w:hAnsi="Palatino Linotype"/>
                <w:sz w:val="22"/>
                <w:szCs w:val="22"/>
                <w:lang w:val="en-US"/>
              </w:rPr>
              <w:t>Differencing operator</w:t>
            </w:r>
          </w:p>
        </w:tc>
      </w:tr>
      <w:tr w:rsidR="00331D0A" w:rsidRPr="00612443" w:rsidTr="00031E70">
        <w:tc>
          <w:tcPr>
            <w:tcW w:w="1384" w:type="dxa"/>
            <w:vAlign w:val="center"/>
          </w:tcPr>
          <w:p w:rsidR="00331D0A" w:rsidRPr="00612443" w:rsidRDefault="00703DB5" w:rsidP="00703DB5">
            <w:pPr>
              <w:jc w:val="right"/>
              <w:rPr>
                <w:rFonts w:ascii="Palatino Linotype" w:hAnsi="Palatino Linotype"/>
                <w:sz w:val="22"/>
                <w:szCs w:val="22"/>
                <w:lang w:val="en-US"/>
              </w:rPr>
            </w:pP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1</m:t>
                  </m:r>
                  <m:r>
                    <w:rPr>
                      <w:rFonts w:ascii="Cambria Math" w:hAnsi="Cambria Math"/>
                      <w:lang w:val="en-US"/>
                    </w:rPr>
                    <m:t>ht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9</m:t>
                  </m:r>
                  <m:r>
                    <w:rPr>
                      <w:rFonts w:ascii="Cambria Math" w:hAnsi="Cambria Math"/>
                      <w:lang w:val="en-US"/>
                    </w:rPr>
                    <m:t>ht</m:t>
                  </m:r>
                </m:sub>
              </m:sSub>
              <m:r>
                <w:rPr>
                  <w:rFonts w:ascii="Cambria Math" w:hAnsi="Cambria Math"/>
                  <w:lang w:val="en-US"/>
                </w:rPr>
                <m:t>)</m:t>
              </m:r>
            </m:oMath>
            <w:r w:rsidR="00331D0A" w:rsidRPr="00612443">
              <w:rPr>
                <w:rFonts w:ascii="Palatino Linotype" w:hAnsi="Palatino Linotype"/>
                <w:lang w:val="en-US"/>
              </w:rPr>
              <w:t>:</w:t>
            </w:r>
            <m:oMath>
              <m:r>
                <w:rPr>
                  <w:rFonts w:ascii="Cambria Math" w:hAnsi="Cambria Math"/>
                  <w:lang w:val="en-US"/>
                </w:rPr>
                <m:t xml:space="preserve"> </m:t>
              </m:r>
            </m:oMath>
          </w:p>
        </w:tc>
        <w:tc>
          <w:tcPr>
            <w:tcW w:w="7371" w:type="dxa"/>
          </w:tcPr>
          <w:p w:rsidR="00331D0A" w:rsidRPr="00612443" w:rsidRDefault="00331D0A" w:rsidP="00D473C4">
            <w:pPr>
              <w:jc w:val="left"/>
              <w:rPr>
                <w:rFonts w:ascii="Palatino Linotype" w:hAnsi="Palatino Linotype"/>
                <w:sz w:val="22"/>
                <w:szCs w:val="22"/>
                <w:lang w:val="en-US"/>
              </w:rPr>
            </w:pPr>
            <w:r w:rsidRPr="00612443">
              <w:rPr>
                <w:rFonts w:ascii="Palatino Linotype" w:hAnsi="Palatino Linotype"/>
                <w:sz w:val="22"/>
                <w:szCs w:val="22"/>
                <w:lang w:val="en-US"/>
              </w:rPr>
              <w:t xml:space="preserve">White noise vector </w:t>
            </w:r>
            <w:r w:rsidR="00B67AF3" w:rsidRPr="00612443">
              <w:rPr>
                <w:rFonts w:ascii="Palatino Linotype" w:hAnsi="Palatino Linotype"/>
                <w:sz w:val="22"/>
                <w:szCs w:val="22"/>
                <w:lang w:val="en-US"/>
              </w:rPr>
              <w:t xml:space="preserve">process </w:t>
            </w:r>
            <w:r w:rsidRPr="00612443">
              <w:rPr>
                <w:rFonts w:ascii="Palatino Linotype" w:hAnsi="Palatino Linotype"/>
                <w:sz w:val="22"/>
                <w:szCs w:val="22"/>
                <w:lang w:val="en-US"/>
              </w:rPr>
              <w:t>with variance</w:t>
            </w:r>
            <w:r w:rsidR="00D473C4" w:rsidRPr="00612443">
              <w:rPr>
                <w:rFonts w:ascii="Palatino Linotype" w:hAnsi="Palatino Linotype"/>
                <w:sz w:val="22"/>
                <w:szCs w:val="22"/>
                <w:lang w:val="en-US"/>
              </w:rPr>
              <w:t xml:space="preserve"> </w:t>
            </w:r>
            <m:oMath>
              <m:sSub>
                <m:sSubPr>
                  <m:ctrlPr>
                    <w:rPr>
                      <w:rFonts w:ascii="Cambria Math" w:hAnsi="Cambria Math"/>
                      <w:i/>
                      <w:sz w:val="22"/>
                      <w:szCs w:val="22"/>
                      <w:lang w:val="en-US"/>
                    </w:rPr>
                  </m:ctrlPr>
                </m:sSubPr>
                <m:e>
                  <m:r>
                    <m:rPr>
                      <m:sty m:val="p"/>
                    </m:rPr>
                    <w:rPr>
                      <w:rFonts w:ascii="Cambria Math" w:hAnsi="Cambria Math"/>
                      <w:sz w:val="22"/>
                      <w:szCs w:val="22"/>
                      <w:lang w:val="en-US"/>
                    </w:rPr>
                    <m:t>Σ</m:t>
                  </m:r>
                </m:e>
                <m:sub>
                  <m:r>
                    <w:rPr>
                      <w:rFonts w:ascii="Cambria Math" w:hAnsi="Cambria Math"/>
                      <w:sz w:val="22"/>
                      <w:szCs w:val="22"/>
                      <w:lang w:val="en-US"/>
                    </w:rPr>
                    <m:t>h</m:t>
                  </m:r>
                </m:sub>
              </m:sSub>
            </m:oMath>
          </w:p>
        </w:tc>
      </w:tr>
    </w:tbl>
    <w:p w:rsidR="0058159B" w:rsidRPr="00612443" w:rsidRDefault="0058159B">
      <w:pPr>
        <w:ind w:firstLine="300"/>
        <w:rPr>
          <w:rFonts w:ascii="Palatino Linotype" w:hAnsi="Palatino Linotype"/>
          <w:sz w:val="22"/>
          <w:szCs w:val="22"/>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These equations are esti</w:t>
      </w:r>
      <w:r w:rsidR="00FF1969">
        <w:rPr>
          <w:rFonts w:ascii="Palatino Linotype" w:hAnsi="Palatino Linotype"/>
          <w:sz w:val="22"/>
          <w:szCs w:val="22"/>
          <w:lang w:val="en-US"/>
        </w:rPr>
        <w:t>mated in differences because</w:t>
      </w:r>
      <w:r w:rsidRPr="00612443">
        <w:rPr>
          <w:rFonts w:ascii="Palatino Linotype" w:hAnsi="Palatino Linotype"/>
          <w:sz w:val="22"/>
          <w:szCs w:val="22"/>
          <w:lang w:val="en-US"/>
        </w:rPr>
        <w:t xml:space="preserve"> inflation expectation deciles may be extremely persistent. This may pose a problem in a regression with a small number of observations. Figure </w:t>
      </w:r>
      <w:r w:rsidR="00FF1969">
        <w:rPr>
          <w:rFonts w:ascii="Palatino Linotype" w:hAnsi="Palatino Linotype"/>
          <w:sz w:val="22"/>
          <w:szCs w:val="22"/>
          <w:lang w:val="en-US"/>
        </w:rPr>
        <w:t>5</w:t>
      </w:r>
      <w:r w:rsidRPr="00612443">
        <w:rPr>
          <w:rFonts w:ascii="Palatino Linotype" w:hAnsi="Palatino Linotype"/>
          <w:sz w:val="22"/>
          <w:szCs w:val="22"/>
          <w:lang w:val="en-US"/>
        </w:rPr>
        <w:t xml:space="preserve"> below shows the median of inflation expectations at </w:t>
      </w:r>
      <w:r w:rsidR="00031E70" w:rsidRPr="00612443">
        <w:rPr>
          <w:rFonts w:ascii="Palatino Linotype" w:hAnsi="Palatino Linotype"/>
          <w:sz w:val="22"/>
          <w:szCs w:val="22"/>
          <w:lang w:val="en-US"/>
        </w:rPr>
        <w:t>1</w:t>
      </w:r>
      <w:r w:rsidRPr="00612443">
        <w:rPr>
          <w:rFonts w:ascii="Palatino Linotype" w:hAnsi="Palatino Linotype"/>
          <w:sz w:val="22"/>
          <w:szCs w:val="22"/>
          <w:lang w:val="en-US"/>
        </w:rPr>
        <w:t xml:space="preserve">, 12 and 24 months ahead. This figure shows that inflation expectations at longer horizons are quite persistent. This feature is also shared by other deciles of inflation expectations </w:t>
      </w:r>
      <w:r w:rsidR="009562E2" w:rsidRPr="00612443">
        <w:rPr>
          <w:rFonts w:ascii="Palatino Linotype" w:hAnsi="Palatino Linotype"/>
          <w:sz w:val="22"/>
          <w:szCs w:val="22"/>
          <w:lang w:val="en-US"/>
        </w:rPr>
        <w:t>two</w:t>
      </w:r>
      <w:r w:rsidRPr="00612443">
        <w:rPr>
          <w:rFonts w:ascii="Palatino Linotype" w:hAnsi="Palatino Linotype"/>
          <w:sz w:val="22"/>
          <w:szCs w:val="22"/>
          <w:lang w:val="en-US"/>
        </w:rPr>
        <w:t xml:space="preserve"> years ahead, as shown in Figure </w:t>
      </w:r>
      <w:r w:rsidR="00FF1969">
        <w:rPr>
          <w:rFonts w:ascii="Palatino Linotype" w:hAnsi="Palatino Linotype"/>
          <w:sz w:val="22"/>
          <w:szCs w:val="22"/>
          <w:lang w:val="en-US"/>
        </w:rPr>
        <w:t>6</w:t>
      </w:r>
      <w:r w:rsidRPr="00612443">
        <w:rPr>
          <w:rFonts w:ascii="Palatino Linotype" w:hAnsi="Palatino Linotype"/>
          <w:sz w:val="22"/>
          <w:szCs w:val="22"/>
          <w:lang w:val="en-US"/>
        </w:rPr>
        <w:t xml:space="preserve">. Figure </w:t>
      </w:r>
      <w:r w:rsidR="00FF1969">
        <w:rPr>
          <w:rFonts w:ascii="Palatino Linotype" w:hAnsi="Palatino Linotype"/>
          <w:sz w:val="22"/>
          <w:szCs w:val="22"/>
          <w:lang w:val="en-US"/>
        </w:rPr>
        <w:t>7</w:t>
      </w:r>
      <w:r w:rsidRPr="00612443">
        <w:rPr>
          <w:rFonts w:ascii="Palatino Linotype" w:hAnsi="Palatino Linotype"/>
          <w:sz w:val="22"/>
          <w:szCs w:val="22"/>
          <w:lang w:val="en-US"/>
        </w:rPr>
        <w:t xml:space="preserve"> shows that when taking first differences, the reduction in the persistence of inflation expectations is important, at least for expectations </w:t>
      </w:r>
      <w:r w:rsidR="00351CDC" w:rsidRPr="00612443">
        <w:rPr>
          <w:rFonts w:ascii="Palatino Linotype" w:hAnsi="Palatino Linotype"/>
          <w:sz w:val="22"/>
          <w:szCs w:val="22"/>
          <w:lang w:val="en-US"/>
        </w:rPr>
        <w:t>1</w:t>
      </w:r>
      <w:r w:rsidRPr="00612443">
        <w:rPr>
          <w:rFonts w:ascii="Palatino Linotype" w:hAnsi="Palatino Linotype"/>
          <w:sz w:val="22"/>
          <w:szCs w:val="22"/>
          <w:lang w:val="en-US"/>
        </w:rPr>
        <w:t xml:space="preserve"> and 12 months ahead.</w:t>
      </w:r>
    </w:p>
    <w:p w:rsidR="0058159B" w:rsidRPr="00612443" w:rsidRDefault="0058159B">
      <w:pPr>
        <w:ind w:firstLine="300"/>
        <w:rPr>
          <w:rFonts w:ascii="Palatino Linotype" w:hAnsi="Palatino Linotype"/>
          <w:sz w:val="22"/>
          <w:szCs w:val="22"/>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It is also worth noticing that the disagreem</w:t>
      </w:r>
      <w:r w:rsidR="00351CDC" w:rsidRPr="00612443">
        <w:rPr>
          <w:rFonts w:ascii="Palatino Linotype" w:hAnsi="Palatino Linotype"/>
          <w:sz w:val="22"/>
          <w:szCs w:val="22"/>
          <w:lang w:val="en-US"/>
        </w:rPr>
        <w:t>ent between the different respondents</w:t>
      </w:r>
      <w:r w:rsidRPr="00612443">
        <w:rPr>
          <w:rFonts w:ascii="Palatino Linotype" w:hAnsi="Palatino Linotype"/>
          <w:sz w:val="22"/>
          <w:szCs w:val="22"/>
          <w:lang w:val="en-US"/>
        </w:rPr>
        <w:t xml:space="preserve"> of the SPF is also important as shown in Figure </w:t>
      </w:r>
      <w:r w:rsidR="00FF1969">
        <w:rPr>
          <w:rFonts w:ascii="Palatino Linotype" w:hAnsi="Palatino Linotype"/>
          <w:sz w:val="22"/>
          <w:szCs w:val="22"/>
          <w:lang w:val="en-US"/>
        </w:rPr>
        <w:t>8</w:t>
      </w:r>
      <w:r w:rsidRPr="00612443">
        <w:rPr>
          <w:rFonts w:ascii="Palatino Linotype" w:hAnsi="Palatino Linotype"/>
          <w:sz w:val="22"/>
          <w:szCs w:val="22"/>
          <w:lang w:val="en-US"/>
        </w:rPr>
        <w:t>. In this picture we plot the difference between the ninth and first decile of inflation expectations. The gap shown in this picture is, at times, substantial.</w:t>
      </w:r>
    </w:p>
    <w:p w:rsidR="0058159B" w:rsidRPr="00612443" w:rsidRDefault="0058159B">
      <w:pPr>
        <w:ind w:firstLine="300"/>
        <w:rPr>
          <w:rFonts w:ascii="Palatino Linotype" w:hAnsi="Palatino Linotype"/>
          <w:sz w:val="22"/>
          <w:szCs w:val="22"/>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We estimate the system of nine equations in (</w:t>
      </w:r>
      <w:r w:rsidR="00FF1969">
        <w:rPr>
          <w:rFonts w:ascii="Palatino Linotype" w:hAnsi="Palatino Linotype"/>
          <w:lang w:val="en-US"/>
        </w:rPr>
        <w:t>3</w:t>
      </w:r>
      <w:r w:rsidRPr="00612443">
        <w:rPr>
          <w:rFonts w:ascii="Palatino Linotype" w:hAnsi="Palatino Linotype"/>
          <w:sz w:val="22"/>
          <w:szCs w:val="22"/>
          <w:lang w:val="en-US"/>
        </w:rPr>
        <w:t>) using a seemingly unrelated approach. Therefore the possible high correlation between the different expectations deciles is explicitly taken into consideration to get more precise estimates of the parameters.</w:t>
      </w:r>
    </w:p>
    <w:p w:rsidR="0058159B" w:rsidRPr="00612443" w:rsidRDefault="0058159B">
      <w:pPr>
        <w:ind w:firstLine="300"/>
        <w:rPr>
          <w:rFonts w:ascii="Palatino Linotype" w:hAnsi="Palatino Linotype"/>
          <w:sz w:val="22"/>
          <w:szCs w:val="22"/>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 xml:space="preserve">Given the reduced number of observations in our analysis, we consider a relatively low number of covariates. Basically we select those variables that, in our opinion, are the most relevant to describe the evolution of inflation expectations. We use: Chilean year-on-year CPI inflation, monthly average of the Federal Reserve Funds rate, monthly average of the Dow Jones index, monthly World Bank Commodities Index (WBCI) and the projection of the nominal Chilean exchange rate on the CBOE </w:t>
      </w:r>
      <w:r w:rsidR="00F911CE" w:rsidRPr="00612443">
        <w:rPr>
          <w:rFonts w:ascii="Palatino Linotype" w:hAnsi="Palatino Linotype"/>
          <w:sz w:val="22"/>
          <w:szCs w:val="22"/>
          <w:lang w:val="en-US"/>
        </w:rPr>
        <w:t>V</w:t>
      </w:r>
      <w:r w:rsidRPr="00612443">
        <w:rPr>
          <w:rFonts w:ascii="Palatino Linotype" w:hAnsi="Palatino Linotype"/>
          <w:sz w:val="22"/>
          <w:szCs w:val="22"/>
          <w:lang w:val="en-US"/>
        </w:rPr>
        <w:t>olatility Index (VIX) and the WBCI</w:t>
      </w:r>
      <w:r w:rsidR="00B60FFC" w:rsidRPr="00612443">
        <w:rPr>
          <w:rStyle w:val="Refdenotaalpie"/>
          <w:rFonts w:ascii="Palatino Linotype" w:hAnsi="Palatino Linotype"/>
          <w:sz w:val="22"/>
          <w:szCs w:val="22"/>
          <w:lang w:val="en-US"/>
        </w:rPr>
        <w:footnoteReference w:id="14"/>
      </w:r>
      <w:r w:rsidRPr="00612443">
        <w:rPr>
          <w:rFonts w:ascii="Palatino Linotype" w:hAnsi="Palatino Linotype"/>
          <w:sz w:val="22"/>
          <w:szCs w:val="22"/>
          <w:lang w:val="en-US"/>
        </w:rPr>
        <w:t>. To construct this last variable we simply estimate the following regression by OLS:</w:t>
      </w:r>
    </w:p>
    <w:p w:rsidR="0058159B" w:rsidRPr="00612443" w:rsidRDefault="0058159B">
      <w:pPr>
        <w:ind w:firstLine="300"/>
        <w:rPr>
          <w:rFonts w:ascii="Palatino Linotype" w:hAnsi="Palatino Linotype"/>
          <w:sz w:val="22"/>
          <w:szCs w:val="22"/>
          <w:lang w:val="en-US"/>
        </w:rPr>
      </w:pPr>
    </w:p>
    <w:p w:rsidR="008458E8" w:rsidRPr="00612443" w:rsidRDefault="008458E8" w:rsidP="008458E8">
      <w:pPr>
        <w:ind w:firstLine="300"/>
        <w:jc w:val="center"/>
        <w:rPr>
          <w:rFonts w:ascii="Palatino Linotype" w:hAnsi="Palatino Linotype"/>
          <w:sz w:val="22"/>
          <w:szCs w:val="22"/>
          <w:lang w:val="en-US"/>
        </w:rPr>
      </w:pPr>
      <w:r w:rsidRPr="00612443">
        <w:rPr>
          <w:rFonts w:ascii="Palatino Linotype" w:hAnsi="Palatino Linotype"/>
          <w:position w:val="-12"/>
          <w:sz w:val="22"/>
          <w:szCs w:val="22"/>
          <w:lang w:val="en-US"/>
        </w:rPr>
        <w:object w:dxaOrig="3900" w:dyaOrig="360">
          <v:shape id="_x0000_i1032" type="#_x0000_t75" style="width:194.25pt;height:18pt" o:ole="">
            <v:imagedata r:id="rId26" o:title=""/>
          </v:shape>
          <o:OLEObject Type="Embed" ProgID="Equation.DSMT4" ShapeID="_x0000_i1032" DrawAspect="Content" ObjectID="_1552495468" r:id="rId27"/>
        </w:object>
      </w:r>
    </w:p>
    <w:p w:rsidR="008458E8" w:rsidRPr="00612443" w:rsidRDefault="008458E8">
      <w:pPr>
        <w:rPr>
          <w:rFonts w:ascii="Palatino Linotype" w:hAnsi="Palatino Linotype"/>
          <w:sz w:val="22"/>
          <w:szCs w:val="22"/>
          <w:lang w:val="en-US"/>
        </w:rPr>
      </w:pPr>
    </w:p>
    <w:p w:rsidR="00D67271" w:rsidRPr="00612443" w:rsidRDefault="000D18E6">
      <w:pPr>
        <w:rPr>
          <w:rFonts w:ascii="Palatino Linotype" w:hAnsi="Palatino Linotype"/>
          <w:sz w:val="22"/>
          <w:szCs w:val="22"/>
          <w:lang w:val="en-US"/>
        </w:rPr>
      </w:pPr>
      <w:r w:rsidRPr="00612443">
        <w:rPr>
          <w:rFonts w:ascii="Palatino Linotype" w:hAnsi="Palatino Linotype"/>
          <w:sz w:val="22"/>
          <w:szCs w:val="22"/>
          <w:lang w:val="en-US"/>
        </w:rPr>
        <w:t xml:space="preserve">and use </w:t>
      </w:r>
    </w:p>
    <w:p w:rsidR="008458E8" w:rsidRPr="00612443" w:rsidRDefault="008458E8">
      <w:pPr>
        <w:rPr>
          <w:rFonts w:ascii="Palatino Linotype" w:hAnsi="Palatino Linotype"/>
          <w:sz w:val="22"/>
          <w:szCs w:val="22"/>
          <w:lang w:val="en-US"/>
        </w:rPr>
      </w:pPr>
    </w:p>
    <w:p w:rsidR="008458E8" w:rsidRPr="00612443" w:rsidRDefault="008458E8" w:rsidP="008458E8">
      <w:pPr>
        <w:pStyle w:val="MTDisplayEquation"/>
        <w:rPr>
          <w:rFonts w:ascii="Palatino Linotype" w:hAnsi="Palatino Linotype"/>
        </w:rPr>
      </w:pPr>
      <w:r w:rsidRPr="00612443">
        <w:rPr>
          <w:rFonts w:ascii="Palatino Linotype" w:hAnsi="Palatino Linotype"/>
        </w:rPr>
        <w:tab/>
      </w:r>
      <w:r w:rsidRPr="00612443">
        <w:rPr>
          <w:rFonts w:ascii="Palatino Linotype" w:hAnsi="Palatino Linotype"/>
          <w:position w:val="-12"/>
        </w:rPr>
        <w:object w:dxaOrig="3220" w:dyaOrig="360">
          <v:shape id="_x0000_i1033" type="#_x0000_t75" style="width:160.5pt;height:18pt" o:ole="">
            <v:imagedata r:id="rId28" o:title=""/>
          </v:shape>
          <o:OLEObject Type="Embed" ProgID="Equation.DSMT4" ShapeID="_x0000_i1033" DrawAspect="Content" ObjectID="_1552495469" r:id="rId29"/>
        </w:object>
      </w:r>
      <w:r w:rsidRPr="00612443">
        <w:rPr>
          <w:rFonts w:ascii="Palatino Linotype" w:hAnsi="Palatino Linotype"/>
        </w:rPr>
        <w:tab/>
        <w:t>(</w:t>
      </w:r>
      <w:r w:rsidR="00FF1969">
        <w:rPr>
          <w:rFonts w:ascii="Palatino Linotype" w:hAnsi="Palatino Linotype"/>
        </w:rPr>
        <w:t>4</w:t>
      </w:r>
      <w:r w:rsidRPr="00612443">
        <w:rPr>
          <w:rFonts w:ascii="Palatino Linotype" w:hAnsi="Palatino Linotype"/>
        </w:rPr>
        <w:t>)</w:t>
      </w:r>
    </w:p>
    <w:p w:rsidR="008458E8" w:rsidRPr="00612443" w:rsidRDefault="008458E8">
      <w:pPr>
        <w:rPr>
          <w:rFonts w:ascii="Palatino Linotype" w:hAnsi="Palatino Linotype"/>
          <w:sz w:val="22"/>
          <w:szCs w:val="22"/>
          <w:lang w:val="en-US"/>
        </w:rPr>
      </w:pPr>
    </w:p>
    <w:p w:rsidR="00D67271" w:rsidRPr="00612443" w:rsidRDefault="000D18E6">
      <w:pPr>
        <w:rPr>
          <w:rFonts w:ascii="Palatino Linotype" w:hAnsi="Palatino Linotype"/>
          <w:sz w:val="22"/>
          <w:szCs w:val="22"/>
          <w:lang w:val="en-US"/>
        </w:rPr>
      </w:pPr>
      <w:r w:rsidRPr="00612443">
        <w:rPr>
          <w:rFonts w:ascii="Palatino Linotype" w:hAnsi="Palatino Linotype"/>
          <w:sz w:val="22"/>
          <w:szCs w:val="22"/>
          <w:lang w:val="en-US"/>
        </w:rPr>
        <w:t>as the last covariate in (</w:t>
      </w:r>
      <w:r w:rsidR="00FF1969">
        <w:rPr>
          <w:rFonts w:ascii="Palatino Linotype" w:hAnsi="Palatino Linotype"/>
          <w:lang w:val="en-US"/>
        </w:rPr>
        <w:t>3</w:t>
      </w:r>
      <w:r w:rsidRPr="00612443">
        <w:rPr>
          <w:rFonts w:ascii="Palatino Linotype" w:hAnsi="Palatino Linotype"/>
          <w:sz w:val="22"/>
          <w:szCs w:val="22"/>
          <w:lang w:val="en-US"/>
        </w:rPr>
        <w:t>).</w:t>
      </w:r>
    </w:p>
    <w:p w:rsidR="0058159B" w:rsidRPr="00612443" w:rsidRDefault="0058159B">
      <w:pPr>
        <w:rPr>
          <w:rFonts w:ascii="Palatino Linotype" w:hAnsi="Palatino Linotype"/>
          <w:sz w:val="22"/>
          <w:szCs w:val="22"/>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 xml:space="preserve">It is also important to point out that inflation expectations are also expressed in terms of year-on-year variation, so </w:t>
      </w:r>
      <w:r w:rsidR="00F911CE" w:rsidRPr="00612443">
        <w:rPr>
          <w:rFonts w:ascii="Palatino Linotype" w:hAnsi="Palatino Linotype"/>
          <w:sz w:val="22"/>
          <w:szCs w:val="22"/>
          <w:lang w:val="en-US"/>
        </w:rPr>
        <w:t xml:space="preserve">that </w:t>
      </w:r>
      <w:r w:rsidRPr="00612443">
        <w:rPr>
          <w:rFonts w:ascii="Palatino Linotype" w:hAnsi="Palatino Linotype"/>
          <w:sz w:val="22"/>
          <w:szCs w:val="22"/>
          <w:lang w:val="en-US"/>
        </w:rPr>
        <w:t>both inflation expectations and inflation are expressed in the same units.</w:t>
      </w:r>
    </w:p>
    <w:p w:rsidR="0058159B" w:rsidRPr="00612443" w:rsidRDefault="0058159B">
      <w:pPr>
        <w:ind w:firstLine="300"/>
        <w:rPr>
          <w:rFonts w:ascii="Palatino Linotype" w:hAnsi="Palatino Linotype"/>
          <w:sz w:val="22"/>
          <w:szCs w:val="22"/>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8352B0" w:rsidRPr="00612443" w:rsidTr="008352B0">
        <w:tc>
          <w:tcPr>
            <w:tcW w:w="8978" w:type="dxa"/>
          </w:tcPr>
          <w:p w:rsidR="008352B0" w:rsidRPr="00612443" w:rsidRDefault="008352B0" w:rsidP="00FF1969">
            <w:pPr>
              <w:jc w:val="center"/>
              <w:rPr>
                <w:rFonts w:ascii="Palatino Linotype" w:hAnsi="Palatino Linotype"/>
                <w:lang w:val="en-US"/>
              </w:rPr>
            </w:pPr>
            <w:r w:rsidRPr="00612443">
              <w:rPr>
                <w:rFonts w:ascii="Palatino Linotype" w:hAnsi="Palatino Linotype"/>
                <w:lang w:val="en-US"/>
              </w:rPr>
              <w:t xml:space="preserve">Figure </w:t>
            </w:r>
            <w:r w:rsidR="00FF1969">
              <w:rPr>
                <w:rFonts w:ascii="Palatino Linotype" w:hAnsi="Palatino Linotype"/>
                <w:lang w:val="en-US"/>
              </w:rPr>
              <w:t>5</w:t>
            </w:r>
            <w:r w:rsidRPr="00612443">
              <w:rPr>
                <w:rFonts w:ascii="Palatino Linotype" w:hAnsi="Palatino Linotype"/>
                <w:lang w:val="en-US"/>
              </w:rPr>
              <w:t xml:space="preserve">: Intervention </w:t>
            </w:r>
            <w:r w:rsidR="00F911CE" w:rsidRPr="00612443">
              <w:rPr>
                <w:rFonts w:ascii="Palatino Linotype" w:hAnsi="Palatino Linotype"/>
                <w:lang w:val="en-US"/>
              </w:rPr>
              <w:t>periods and inflation expectations, different horizons</w:t>
            </w:r>
          </w:p>
        </w:tc>
      </w:tr>
      <w:tr w:rsidR="008352B0" w:rsidRPr="00612443" w:rsidTr="008352B0">
        <w:tc>
          <w:tcPr>
            <w:tcW w:w="8978" w:type="dxa"/>
          </w:tcPr>
          <w:p w:rsidR="008352B0" w:rsidRPr="00612443" w:rsidRDefault="008352B0" w:rsidP="008352B0">
            <w:pPr>
              <w:jc w:val="center"/>
              <w:rPr>
                <w:rFonts w:ascii="Palatino Linotype" w:hAnsi="Palatino Linotype"/>
                <w:lang w:val="en-US"/>
              </w:rPr>
            </w:pPr>
            <w:r w:rsidRPr="00612443">
              <w:rPr>
                <w:rFonts w:ascii="Palatino Linotype" w:hAnsi="Palatino Linotype"/>
                <w:lang w:val="en-US" w:eastAsia="en-US"/>
              </w:rPr>
              <w:drawing>
                <wp:inline distT="0" distB="0" distL="0" distR="0" wp14:anchorId="650E0F4C" wp14:editId="676DD011">
                  <wp:extent cx="4204739" cy="2615067"/>
                  <wp:effectExtent l="0" t="0" r="5715" b="0"/>
                  <wp:docPr id="3" name="2 Imagen" descr="Figure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wmf"/>
                          <pic:cNvPicPr/>
                        </pic:nvPicPr>
                        <pic:blipFill>
                          <a:blip r:embed="rId30"/>
                          <a:stretch>
                            <a:fillRect/>
                          </a:stretch>
                        </pic:blipFill>
                        <pic:spPr>
                          <a:xfrm>
                            <a:off x="0" y="0"/>
                            <a:ext cx="4207937" cy="2617056"/>
                          </a:xfrm>
                          <a:prstGeom prst="rect">
                            <a:avLst/>
                          </a:prstGeom>
                        </pic:spPr>
                      </pic:pic>
                    </a:graphicData>
                  </a:graphic>
                </wp:inline>
              </w:drawing>
            </w:r>
          </w:p>
        </w:tc>
      </w:tr>
      <w:tr w:rsidR="008352B0" w:rsidRPr="00612443" w:rsidTr="008352B0">
        <w:tc>
          <w:tcPr>
            <w:tcW w:w="8978" w:type="dxa"/>
          </w:tcPr>
          <w:p w:rsidR="008352B0" w:rsidRPr="00612443" w:rsidRDefault="008352B0" w:rsidP="008352B0">
            <w:pPr>
              <w:jc w:val="center"/>
              <w:rPr>
                <w:rFonts w:ascii="Palatino Linotype" w:hAnsi="Palatino Linotype"/>
                <w:lang w:val="en-US"/>
              </w:rPr>
            </w:pPr>
          </w:p>
          <w:p w:rsidR="008352B0" w:rsidRPr="00612443" w:rsidRDefault="008352B0" w:rsidP="00FF1969">
            <w:pPr>
              <w:jc w:val="center"/>
              <w:rPr>
                <w:rFonts w:ascii="Palatino Linotype" w:hAnsi="Palatino Linotype"/>
                <w:lang w:val="en-US"/>
              </w:rPr>
            </w:pPr>
            <w:r w:rsidRPr="00612443">
              <w:rPr>
                <w:rFonts w:ascii="Palatino Linotype" w:hAnsi="Palatino Linotype"/>
                <w:lang w:val="en-US"/>
              </w:rPr>
              <w:t xml:space="preserve">Figure </w:t>
            </w:r>
            <w:r w:rsidR="00FF1969">
              <w:rPr>
                <w:rFonts w:ascii="Palatino Linotype" w:hAnsi="Palatino Linotype"/>
                <w:lang w:val="en-US"/>
              </w:rPr>
              <w:t>6</w:t>
            </w:r>
            <w:r w:rsidRPr="00612443">
              <w:rPr>
                <w:rFonts w:ascii="Palatino Linotype" w:hAnsi="Palatino Linotype"/>
                <w:lang w:val="en-US"/>
              </w:rPr>
              <w:t xml:space="preserve">: Inflation </w:t>
            </w:r>
            <w:r w:rsidR="00F911CE" w:rsidRPr="00612443">
              <w:rPr>
                <w:rFonts w:ascii="Palatino Linotype" w:hAnsi="Palatino Linotype"/>
                <w:lang w:val="en-US"/>
              </w:rPr>
              <w:t>expectations by decile, two years ahead</w:t>
            </w:r>
          </w:p>
        </w:tc>
      </w:tr>
      <w:tr w:rsidR="008352B0" w:rsidRPr="00612443" w:rsidTr="008352B0">
        <w:tc>
          <w:tcPr>
            <w:tcW w:w="8978" w:type="dxa"/>
          </w:tcPr>
          <w:p w:rsidR="008352B0" w:rsidRPr="00612443" w:rsidRDefault="008352B0" w:rsidP="008352B0">
            <w:pPr>
              <w:jc w:val="center"/>
              <w:rPr>
                <w:rFonts w:ascii="Palatino Linotype" w:hAnsi="Palatino Linotype"/>
                <w:lang w:val="en-US"/>
              </w:rPr>
            </w:pPr>
            <w:r w:rsidRPr="00612443">
              <w:rPr>
                <w:rFonts w:ascii="Palatino Linotype" w:hAnsi="Palatino Linotype"/>
                <w:lang w:val="en-US" w:eastAsia="en-US"/>
              </w:rPr>
              <w:drawing>
                <wp:inline distT="0" distB="0" distL="0" distR="0" wp14:anchorId="7AD406DF" wp14:editId="33188C07">
                  <wp:extent cx="4088592" cy="2542831"/>
                  <wp:effectExtent l="0" t="0" r="7620" b="0"/>
                  <wp:docPr id="4" name="3 Imagen" descr="Figure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wmf"/>
                          <pic:cNvPicPr/>
                        </pic:nvPicPr>
                        <pic:blipFill>
                          <a:blip r:embed="rId31"/>
                          <a:stretch>
                            <a:fillRect/>
                          </a:stretch>
                        </pic:blipFill>
                        <pic:spPr>
                          <a:xfrm>
                            <a:off x="0" y="0"/>
                            <a:ext cx="4091702" cy="2544765"/>
                          </a:xfrm>
                          <a:prstGeom prst="rect">
                            <a:avLst/>
                          </a:prstGeom>
                        </pic:spPr>
                      </pic:pic>
                    </a:graphicData>
                  </a:graphic>
                </wp:inline>
              </w:drawing>
            </w:r>
          </w:p>
        </w:tc>
      </w:tr>
      <w:tr w:rsidR="008352B0" w:rsidRPr="00612443" w:rsidTr="008352B0">
        <w:tc>
          <w:tcPr>
            <w:tcW w:w="8978" w:type="dxa"/>
          </w:tcPr>
          <w:p w:rsidR="008352B0" w:rsidRPr="00612443" w:rsidRDefault="008352B0" w:rsidP="008352B0">
            <w:pPr>
              <w:jc w:val="center"/>
              <w:rPr>
                <w:rFonts w:ascii="Palatino Linotype" w:hAnsi="Palatino Linotype"/>
                <w:lang w:val="en-US"/>
              </w:rPr>
            </w:pPr>
          </w:p>
          <w:p w:rsidR="00FF1969" w:rsidRDefault="00FF1969" w:rsidP="00FF1969">
            <w:pPr>
              <w:jc w:val="center"/>
              <w:rPr>
                <w:rFonts w:ascii="Palatino Linotype" w:hAnsi="Palatino Linotype"/>
                <w:lang w:val="en-US"/>
              </w:rPr>
            </w:pPr>
          </w:p>
          <w:p w:rsidR="00FF1969" w:rsidRDefault="00FF1969" w:rsidP="00FF1969">
            <w:pPr>
              <w:jc w:val="center"/>
              <w:rPr>
                <w:rFonts w:ascii="Palatino Linotype" w:hAnsi="Palatino Linotype"/>
                <w:lang w:val="en-US"/>
              </w:rPr>
            </w:pPr>
          </w:p>
          <w:p w:rsidR="00FF1969" w:rsidRDefault="00FF1969" w:rsidP="00FF1969">
            <w:pPr>
              <w:jc w:val="center"/>
              <w:rPr>
                <w:rFonts w:ascii="Palatino Linotype" w:hAnsi="Palatino Linotype"/>
                <w:lang w:val="en-US"/>
              </w:rPr>
            </w:pPr>
          </w:p>
          <w:p w:rsidR="00FF1969" w:rsidRDefault="00FF1969" w:rsidP="00FF1969">
            <w:pPr>
              <w:jc w:val="center"/>
              <w:rPr>
                <w:rFonts w:ascii="Palatino Linotype" w:hAnsi="Palatino Linotype"/>
                <w:lang w:val="en-US"/>
              </w:rPr>
            </w:pPr>
          </w:p>
          <w:p w:rsidR="00FF1969" w:rsidRDefault="00FF1969" w:rsidP="00FF1969">
            <w:pPr>
              <w:jc w:val="center"/>
              <w:rPr>
                <w:rFonts w:ascii="Palatino Linotype" w:hAnsi="Palatino Linotype"/>
                <w:lang w:val="en-US"/>
              </w:rPr>
            </w:pPr>
          </w:p>
          <w:p w:rsidR="00AD50C1" w:rsidRDefault="00AD50C1" w:rsidP="00FF1969">
            <w:pPr>
              <w:jc w:val="center"/>
              <w:rPr>
                <w:rFonts w:ascii="Palatino Linotype" w:hAnsi="Palatino Linotype"/>
                <w:lang w:val="en-US"/>
              </w:rPr>
            </w:pPr>
          </w:p>
          <w:p w:rsidR="00AD50C1" w:rsidRDefault="00AD50C1" w:rsidP="00FF1969">
            <w:pPr>
              <w:jc w:val="center"/>
              <w:rPr>
                <w:rFonts w:ascii="Palatino Linotype" w:hAnsi="Palatino Linotype"/>
                <w:lang w:val="en-US"/>
              </w:rPr>
            </w:pPr>
          </w:p>
          <w:p w:rsidR="00FF1969" w:rsidRDefault="00FF1969" w:rsidP="00FF1969">
            <w:pPr>
              <w:jc w:val="center"/>
              <w:rPr>
                <w:rFonts w:ascii="Palatino Linotype" w:hAnsi="Palatino Linotype"/>
                <w:lang w:val="en-US"/>
              </w:rPr>
            </w:pPr>
          </w:p>
          <w:p w:rsidR="008352B0" w:rsidRPr="00612443" w:rsidRDefault="008352B0" w:rsidP="00FF1969">
            <w:pPr>
              <w:jc w:val="center"/>
              <w:rPr>
                <w:rFonts w:ascii="Palatino Linotype" w:hAnsi="Palatino Linotype"/>
                <w:lang w:val="en-US"/>
              </w:rPr>
            </w:pPr>
            <w:r w:rsidRPr="00612443">
              <w:rPr>
                <w:rFonts w:ascii="Palatino Linotype" w:hAnsi="Palatino Linotype"/>
                <w:lang w:val="en-US"/>
              </w:rPr>
              <w:lastRenderedPageBreak/>
              <w:t xml:space="preserve">Figure </w:t>
            </w:r>
            <w:r w:rsidR="00FF1969">
              <w:rPr>
                <w:rFonts w:ascii="Palatino Linotype" w:hAnsi="Palatino Linotype"/>
                <w:lang w:val="en-US"/>
              </w:rPr>
              <w:t>7</w:t>
            </w:r>
            <w:r w:rsidRPr="00612443">
              <w:rPr>
                <w:rFonts w:ascii="Palatino Linotype" w:hAnsi="Palatino Linotype"/>
                <w:lang w:val="en-US"/>
              </w:rPr>
              <w:t xml:space="preserve">: Intervention </w:t>
            </w:r>
            <w:r w:rsidR="00F911CE" w:rsidRPr="00612443">
              <w:rPr>
                <w:rFonts w:ascii="Palatino Linotype" w:hAnsi="Palatino Linotype"/>
                <w:lang w:val="en-US"/>
              </w:rPr>
              <w:t>periods and differences of inflation expectations</w:t>
            </w:r>
          </w:p>
        </w:tc>
      </w:tr>
      <w:tr w:rsidR="008352B0" w:rsidRPr="00612443" w:rsidTr="008352B0">
        <w:tc>
          <w:tcPr>
            <w:tcW w:w="8978" w:type="dxa"/>
          </w:tcPr>
          <w:p w:rsidR="008352B0" w:rsidRPr="00612443" w:rsidRDefault="008352B0" w:rsidP="008352B0">
            <w:pPr>
              <w:jc w:val="center"/>
              <w:rPr>
                <w:rFonts w:ascii="Palatino Linotype" w:hAnsi="Palatino Linotype"/>
                <w:lang w:val="en-US"/>
              </w:rPr>
            </w:pPr>
            <w:r w:rsidRPr="00612443">
              <w:rPr>
                <w:rFonts w:ascii="Palatino Linotype" w:hAnsi="Palatino Linotype"/>
                <w:lang w:val="en-US" w:eastAsia="en-US"/>
              </w:rPr>
              <w:lastRenderedPageBreak/>
              <w:drawing>
                <wp:inline distT="0" distB="0" distL="0" distR="0" wp14:anchorId="4FC0BB7D" wp14:editId="2FE5872C">
                  <wp:extent cx="4363938" cy="2714078"/>
                  <wp:effectExtent l="0" t="0" r="0" b="0"/>
                  <wp:docPr id="5" name="4 Imagen" descr="Figure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wmf"/>
                          <pic:cNvPicPr/>
                        </pic:nvPicPr>
                        <pic:blipFill>
                          <a:blip r:embed="rId32"/>
                          <a:stretch>
                            <a:fillRect/>
                          </a:stretch>
                        </pic:blipFill>
                        <pic:spPr>
                          <a:xfrm>
                            <a:off x="0" y="0"/>
                            <a:ext cx="4367257" cy="2716142"/>
                          </a:xfrm>
                          <a:prstGeom prst="rect">
                            <a:avLst/>
                          </a:prstGeom>
                        </pic:spPr>
                      </pic:pic>
                    </a:graphicData>
                  </a:graphic>
                </wp:inline>
              </w:drawing>
            </w:r>
          </w:p>
        </w:tc>
      </w:tr>
      <w:tr w:rsidR="008352B0" w:rsidRPr="00612443" w:rsidTr="008352B0">
        <w:tc>
          <w:tcPr>
            <w:tcW w:w="8978" w:type="dxa"/>
          </w:tcPr>
          <w:p w:rsidR="008352B0" w:rsidRPr="00612443" w:rsidRDefault="008352B0" w:rsidP="008352B0">
            <w:pPr>
              <w:jc w:val="center"/>
              <w:rPr>
                <w:rFonts w:ascii="Palatino Linotype" w:hAnsi="Palatino Linotype"/>
                <w:lang w:val="en-US"/>
              </w:rPr>
            </w:pPr>
          </w:p>
          <w:p w:rsidR="008352B0" w:rsidRPr="00612443" w:rsidRDefault="008352B0" w:rsidP="00FF1969">
            <w:pPr>
              <w:jc w:val="center"/>
              <w:rPr>
                <w:rFonts w:ascii="Palatino Linotype" w:hAnsi="Palatino Linotype"/>
                <w:lang w:val="en-US"/>
              </w:rPr>
            </w:pPr>
            <w:r w:rsidRPr="00612443">
              <w:rPr>
                <w:rFonts w:ascii="Palatino Linotype" w:hAnsi="Palatino Linotype"/>
                <w:lang w:val="en-US"/>
              </w:rPr>
              <w:t xml:space="preserve">Figure </w:t>
            </w:r>
            <w:r w:rsidR="00FF1969">
              <w:rPr>
                <w:rFonts w:ascii="Palatino Linotype" w:hAnsi="Palatino Linotype"/>
                <w:lang w:val="en-US"/>
              </w:rPr>
              <w:t>8</w:t>
            </w:r>
            <w:r w:rsidRPr="00612443">
              <w:rPr>
                <w:rFonts w:ascii="Palatino Linotype" w:hAnsi="Palatino Linotype"/>
                <w:lang w:val="en-US"/>
              </w:rPr>
              <w:t xml:space="preserve">: Spread in inflation expectations: Decile </w:t>
            </w:r>
            <w:r w:rsidR="00CC07C7" w:rsidRPr="00612443">
              <w:rPr>
                <w:rFonts w:ascii="Palatino Linotype" w:hAnsi="Palatino Linotype"/>
                <w:lang w:val="en-US"/>
              </w:rPr>
              <w:t>9</w:t>
            </w:r>
            <w:r w:rsidR="00F911CE" w:rsidRPr="00612443">
              <w:rPr>
                <w:rFonts w:ascii="Palatino Linotype" w:hAnsi="Palatino Linotype"/>
                <w:lang w:val="en-US"/>
              </w:rPr>
              <w:t>–</w:t>
            </w:r>
            <w:r w:rsidRPr="00612443">
              <w:rPr>
                <w:rFonts w:ascii="Palatino Linotype" w:hAnsi="Palatino Linotype"/>
                <w:lang w:val="en-US"/>
              </w:rPr>
              <w:t xml:space="preserve">Decile </w:t>
            </w:r>
            <w:r w:rsidR="00CC07C7" w:rsidRPr="00612443">
              <w:rPr>
                <w:rFonts w:ascii="Palatino Linotype" w:hAnsi="Palatino Linotype"/>
                <w:lang w:val="en-US"/>
              </w:rPr>
              <w:t>1</w:t>
            </w:r>
          </w:p>
        </w:tc>
      </w:tr>
      <w:tr w:rsidR="008352B0" w:rsidRPr="00612443" w:rsidTr="008352B0">
        <w:tc>
          <w:tcPr>
            <w:tcW w:w="8978" w:type="dxa"/>
          </w:tcPr>
          <w:p w:rsidR="008352B0" w:rsidRPr="00612443" w:rsidRDefault="008352B0" w:rsidP="008352B0">
            <w:pPr>
              <w:jc w:val="center"/>
              <w:rPr>
                <w:rFonts w:ascii="Palatino Linotype" w:hAnsi="Palatino Linotype"/>
                <w:lang w:val="en-US"/>
              </w:rPr>
            </w:pPr>
            <w:bookmarkStart w:id="0" w:name="_GoBack"/>
            <w:r w:rsidRPr="00612443">
              <w:rPr>
                <w:rFonts w:ascii="Palatino Linotype" w:hAnsi="Palatino Linotype"/>
                <w:lang w:val="en-US" w:eastAsia="en-US"/>
              </w:rPr>
              <w:drawing>
                <wp:inline distT="0" distB="0" distL="0" distR="0" wp14:anchorId="137F77E2" wp14:editId="1C26C4DD">
                  <wp:extent cx="4345209" cy="2702430"/>
                  <wp:effectExtent l="0" t="0" r="0" b="3175"/>
                  <wp:docPr id="6" name="5 Imagen" descr="Figure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wmf"/>
                          <pic:cNvPicPr/>
                        </pic:nvPicPr>
                        <pic:blipFill>
                          <a:blip r:embed="rId33"/>
                          <a:stretch>
                            <a:fillRect/>
                          </a:stretch>
                        </pic:blipFill>
                        <pic:spPr>
                          <a:xfrm>
                            <a:off x="0" y="0"/>
                            <a:ext cx="4348514" cy="2704485"/>
                          </a:xfrm>
                          <a:prstGeom prst="rect">
                            <a:avLst/>
                          </a:prstGeom>
                        </pic:spPr>
                      </pic:pic>
                    </a:graphicData>
                  </a:graphic>
                </wp:inline>
              </w:drawing>
            </w:r>
            <w:bookmarkEnd w:id="0"/>
          </w:p>
        </w:tc>
      </w:tr>
    </w:tbl>
    <w:p w:rsidR="0058159B" w:rsidRPr="00612443" w:rsidRDefault="0058159B" w:rsidP="008352B0">
      <w:pPr>
        <w:jc w:val="center"/>
        <w:rPr>
          <w:rFonts w:ascii="Palatino Linotype" w:hAnsi="Palatino Linotype"/>
          <w:lang w:val="en-US"/>
        </w:rPr>
      </w:pPr>
    </w:p>
    <w:p w:rsidR="008352B0" w:rsidRPr="00612443" w:rsidRDefault="008352B0" w:rsidP="0058159B">
      <w:pPr>
        <w:rPr>
          <w:rFonts w:ascii="Palatino Linotype" w:hAnsi="Palatino Linotype"/>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 xml:space="preserve">Tables </w:t>
      </w:r>
      <w:r w:rsidR="00FF1969">
        <w:rPr>
          <w:rFonts w:ascii="Palatino Linotype" w:hAnsi="Palatino Linotype"/>
          <w:sz w:val="22"/>
          <w:szCs w:val="22"/>
          <w:lang w:val="en-US"/>
        </w:rPr>
        <w:t>3</w:t>
      </w:r>
      <w:r w:rsidR="00F911CE" w:rsidRPr="00612443">
        <w:rPr>
          <w:rFonts w:ascii="Palatino Linotype" w:hAnsi="Palatino Linotype"/>
          <w:sz w:val="22"/>
          <w:szCs w:val="22"/>
          <w:lang w:val="en-US"/>
        </w:rPr>
        <w:t>–</w:t>
      </w:r>
      <w:r w:rsidR="00FF1969">
        <w:rPr>
          <w:rFonts w:ascii="Palatino Linotype" w:hAnsi="Palatino Linotype"/>
          <w:sz w:val="22"/>
          <w:szCs w:val="22"/>
          <w:lang w:val="en-US"/>
        </w:rPr>
        <w:t>5</w:t>
      </w:r>
      <w:r w:rsidRPr="00612443">
        <w:rPr>
          <w:rFonts w:ascii="Palatino Linotype" w:hAnsi="Palatino Linotype"/>
          <w:sz w:val="22"/>
          <w:szCs w:val="22"/>
          <w:lang w:val="en-US"/>
        </w:rPr>
        <w:t xml:space="preserve"> below show the results of the estimation of (</w:t>
      </w:r>
      <w:r w:rsidR="00FF1969">
        <w:rPr>
          <w:rFonts w:ascii="Palatino Linotype" w:hAnsi="Palatino Linotype"/>
          <w:lang w:val="en-US"/>
        </w:rPr>
        <w:t>3</w:t>
      </w:r>
      <w:r w:rsidRPr="00612443">
        <w:rPr>
          <w:rFonts w:ascii="Palatino Linotype" w:hAnsi="Palatino Linotype"/>
          <w:sz w:val="22"/>
          <w:szCs w:val="22"/>
          <w:lang w:val="en-US"/>
        </w:rPr>
        <w:t>). In these tables we report the</w:t>
      </w:r>
      <w:r w:rsidR="008458E8" w:rsidRPr="00612443">
        <w:rPr>
          <w:rFonts w:ascii="Palatino Linotype" w:hAnsi="Palatino Linotype"/>
          <w:sz w:val="22"/>
          <w:szCs w:val="22"/>
          <w:lang w:val="en-US"/>
        </w:rPr>
        <w:t xml:space="preserve"> </w:t>
      </w:r>
      <w:r w:rsidR="008458E8" w:rsidRPr="00612443">
        <w:rPr>
          <w:rFonts w:ascii="Palatino Linotype" w:hAnsi="Palatino Linotype"/>
          <w:position w:val="-10"/>
          <w:sz w:val="22"/>
          <w:szCs w:val="22"/>
          <w:lang w:val="en-US"/>
        </w:rPr>
        <w:object w:dxaOrig="200" w:dyaOrig="260">
          <v:shape id="_x0000_i1034" type="#_x0000_t75" style="width:10.5pt;height:13.5pt" o:ole="">
            <v:imagedata r:id="rId34" o:title=""/>
          </v:shape>
          <o:OLEObject Type="Embed" ProgID="Equation.DSMT4" ShapeID="_x0000_i1034" DrawAspect="Content" ObjectID="_1552495470" r:id="rId35"/>
        </w:object>
      </w:r>
      <w:r w:rsidRPr="00612443">
        <w:rPr>
          <w:rFonts w:ascii="Palatino Linotype" w:hAnsi="Palatino Linotype"/>
          <w:sz w:val="22"/>
          <w:szCs w:val="22"/>
          <w:lang w:val="en-US"/>
        </w:rPr>
        <w:t xml:space="preserve"> coefficient associated to the intervention variable. We also report its </w:t>
      </w:r>
      <w:r w:rsidRPr="00612443">
        <w:rPr>
          <w:rFonts w:ascii="Palatino Linotype" w:hAnsi="Palatino Linotype"/>
          <w:i/>
          <w:sz w:val="22"/>
          <w:szCs w:val="22"/>
          <w:lang w:val="en-US"/>
        </w:rPr>
        <w:t>t</w:t>
      </w:r>
      <w:r w:rsidRPr="00612443">
        <w:rPr>
          <w:rFonts w:ascii="Palatino Linotype" w:hAnsi="Palatino Linotype"/>
          <w:sz w:val="22"/>
          <w:szCs w:val="22"/>
          <w:lang w:val="en-US"/>
        </w:rPr>
        <w:t xml:space="preserve">-statistic, its </w:t>
      </w:r>
      <w:r w:rsidRPr="00612443">
        <w:rPr>
          <w:rFonts w:ascii="Palatino Linotype" w:hAnsi="Palatino Linotype"/>
          <w:i/>
          <w:sz w:val="22"/>
          <w:szCs w:val="22"/>
          <w:lang w:val="en-US"/>
        </w:rPr>
        <w:t>p</w:t>
      </w:r>
      <w:r w:rsidRPr="00612443">
        <w:rPr>
          <w:rFonts w:ascii="Palatino Linotype" w:hAnsi="Palatino Linotype"/>
          <w:sz w:val="22"/>
          <w:szCs w:val="22"/>
          <w:lang w:val="en-US"/>
        </w:rPr>
        <w:t>-value (</w:t>
      </w:r>
      <w:r w:rsidR="00D473C4" w:rsidRPr="00612443">
        <w:rPr>
          <w:rFonts w:ascii="Palatino Linotype" w:hAnsi="Palatino Linotype"/>
          <w:sz w:val="22"/>
          <w:szCs w:val="22"/>
          <w:lang w:val="en-US"/>
        </w:rPr>
        <w:t>called “</w:t>
      </w:r>
      <w:r w:rsidRPr="00612443">
        <w:rPr>
          <w:rFonts w:ascii="Palatino Linotype" w:hAnsi="Palatino Linotype"/>
          <w:sz w:val="22"/>
          <w:szCs w:val="22"/>
          <w:lang w:val="en-US"/>
        </w:rPr>
        <w:t>Prob</w:t>
      </w:r>
      <w:r w:rsidR="00D473C4" w:rsidRPr="00612443">
        <w:rPr>
          <w:rFonts w:ascii="Palatino Linotype" w:hAnsi="Palatino Linotype"/>
          <w:sz w:val="22"/>
          <w:szCs w:val="22"/>
          <w:lang w:val="en-US"/>
        </w:rPr>
        <w:t>” in the tables</w:t>
      </w:r>
      <w:r w:rsidRPr="00612443">
        <w:rPr>
          <w:rFonts w:ascii="Palatino Linotype" w:hAnsi="Palatino Linotype"/>
          <w:sz w:val="22"/>
          <w:szCs w:val="22"/>
          <w:lang w:val="en-US"/>
        </w:rPr>
        <w:t xml:space="preserve">) and the </w:t>
      </w:r>
      <w:r w:rsidR="008458E8" w:rsidRPr="00612443">
        <w:rPr>
          <w:rFonts w:ascii="Palatino Linotype" w:hAnsi="Palatino Linotype"/>
          <w:position w:val="-4"/>
          <w:sz w:val="22"/>
          <w:szCs w:val="22"/>
          <w:lang w:val="en-US"/>
        </w:rPr>
        <w:object w:dxaOrig="320" w:dyaOrig="300">
          <v:shape id="_x0000_i1035" type="#_x0000_t75" style="width:16.5pt;height:15pt" o:ole="">
            <v:imagedata r:id="rId36" o:title=""/>
          </v:shape>
          <o:OLEObject Type="Embed" ProgID="Equation.DSMT4" ShapeID="_x0000_i1035" DrawAspect="Content" ObjectID="_1552495471" r:id="rId37"/>
        </w:object>
      </w:r>
      <w:r w:rsidRPr="00612443">
        <w:rPr>
          <w:rFonts w:ascii="Palatino Linotype" w:hAnsi="Palatino Linotype"/>
          <w:sz w:val="22"/>
          <w:szCs w:val="22"/>
          <w:lang w:val="en-US"/>
        </w:rPr>
        <w:t xml:space="preserve"> of the corresponding equation. Table </w:t>
      </w:r>
      <w:r w:rsidR="00FF1969">
        <w:rPr>
          <w:rFonts w:ascii="Palatino Linotype" w:hAnsi="Palatino Linotype"/>
          <w:sz w:val="22"/>
          <w:szCs w:val="22"/>
          <w:lang w:val="en-US"/>
        </w:rPr>
        <w:t>3</w:t>
      </w:r>
      <w:r w:rsidRPr="00612443">
        <w:rPr>
          <w:rFonts w:ascii="Palatino Linotype" w:hAnsi="Palatino Linotype"/>
          <w:sz w:val="22"/>
          <w:szCs w:val="22"/>
          <w:lang w:val="en-US"/>
        </w:rPr>
        <w:t xml:space="preserve"> shows that the amount of interventions do not Granger</w:t>
      </w:r>
      <w:r w:rsidR="00F911CE" w:rsidRPr="00612443">
        <w:rPr>
          <w:rFonts w:ascii="Palatino Linotype" w:hAnsi="Palatino Linotype"/>
          <w:sz w:val="22"/>
          <w:szCs w:val="22"/>
          <w:lang w:val="en-US"/>
        </w:rPr>
        <w:t>-</w:t>
      </w:r>
      <w:r w:rsidRPr="00612443">
        <w:rPr>
          <w:rFonts w:ascii="Palatino Linotype" w:hAnsi="Palatino Linotype"/>
          <w:sz w:val="22"/>
          <w:szCs w:val="22"/>
          <w:lang w:val="en-US"/>
        </w:rPr>
        <w:t xml:space="preserve">cause inflation expectations </w:t>
      </w:r>
      <w:r w:rsidR="00F911CE" w:rsidRPr="00612443">
        <w:rPr>
          <w:rFonts w:ascii="Palatino Linotype" w:hAnsi="Palatino Linotype"/>
          <w:sz w:val="22"/>
          <w:szCs w:val="22"/>
          <w:lang w:val="en-US"/>
        </w:rPr>
        <w:t>one</w:t>
      </w:r>
      <w:r w:rsidRPr="00612443">
        <w:rPr>
          <w:rFonts w:ascii="Palatino Linotype" w:hAnsi="Palatino Linotype"/>
          <w:sz w:val="22"/>
          <w:szCs w:val="22"/>
          <w:lang w:val="en-US"/>
        </w:rPr>
        <w:t xml:space="preserve"> month ahead. In fact, not a sing</w:t>
      </w:r>
      <w:r w:rsidR="00D473C4" w:rsidRPr="00612443">
        <w:rPr>
          <w:rFonts w:ascii="Palatino Linotype" w:hAnsi="Palatino Linotype"/>
          <w:sz w:val="22"/>
          <w:szCs w:val="22"/>
          <w:lang w:val="en-US"/>
        </w:rPr>
        <w:t>le decile seems to be determined</w:t>
      </w:r>
      <w:r w:rsidRPr="00612443">
        <w:rPr>
          <w:rFonts w:ascii="Palatino Linotype" w:hAnsi="Palatino Linotype"/>
          <w:sz w:val="22"/>
          <w:szCs w:val="22"/>
          <w:lang w:val="en-US"/>
        </w:rPr>
        <w:t xml:space="preserve"> by the amount of the intervention.</w:t>
      </w:r>
    </w:p>
    <w:p w:rsidR="0058159B" w:rsidRPr="00612443" w:rsidRDefault="0058159B">
      <w:pPr>
        <w:ind w:firstLine="300"/>
        <w:rPr>
          <w:rFonts w:ascii="Palatino Linotype" w:hAnsi="Palatino Linotype"/>
          <w:sz w:val="22"/>
          <w:szCs w:val="22"/>
          <w:lang w:val="en-US"/>
        </w:rPr>
      </w:pPr>
    </w:p>
    <w:p w:rsidR="008B51C4" w:rsidRPr="00612443" w:rsidRDefault="008B51C4">
      <w:pPr>
        <w:ind w:firstLine="300"/>
        <w:rPr>
          <w:rFonts w:ascii="Palatino Linotype" w:hAnsi="Palatino Linotype"/>
          <w:sz w:val="22"/>
          <w:szCs w:val="22"/>
          <w:lang w:val="en-US"/>
        </w:rPr>
      </w:pPr>
    </w:p>
    <w:p w:rsidR="008B51C4" w:rsidRPr="00612443" w:rsidRDefault="008B51C4">
      <w:pPr>
        <w:ind w:firstLine="300"/>
        <w:rPr>
          <w:rFonts w:ascii="Palatino Linotype" w:hAnsi="Palatino Linotype"/>
          <w:sz w:val="22"/>
          <w:szCs w:val="22"/>
          <w:lang w:val="en-US"/>
        </w:rPr>
      </w:pPr>
    </w:p>
    <w:p w:rsidR="008B51C4" w:rsidRPr="00612443" w:rsidRDefault="008B51C4">
      <w:pPr>
        <w:ind w:firstLine="300"/>
        <w:rPr>
          <w:rFonts w:ascii="Palatino Linotype" w:hAnsi="Palatino Linotype"/>
          <w:sz w:val="22"/>
          <w:szCs w:val="22"/>
          <w:lang w:val="en-US"/>
        </w:rPr>
      </w:pPr>
    </w:p>
    <w:p w:rsidR="00BD59ED" w:rsidRPr="00612443" w:rsidRDefault="00BD59ED">
      <w:pPr>
        <w:ind w:firstLine="300"/>
        <w:rPr>
          <w:rFonts w:ascii="Palatino Linotype" w:hAnsi="Palatino Linotype"/>
          <w:sz w:val="22"/>
          <w:szCs w:val="22"/>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8352B0" w:rsidRPr="00612443" w:rsidTr="008B51C4">
        <w:tc>
          <w:tcPr>
            <w:tcW w:w="8978" w:type="dxa"/>
            <w:vAlign w:val="center"/>
          </w:tcPr>
          <w:p w:rsidR="008352B0" w:rsidRPr="00612443" w:rsidRDefault="008352B0" w:rsidP="008352B0">
            <w:pPr>
              <w:jc w:val="center"/>
              <w:rPr>
                <w:rFonts w:ascii="Palatino Linotype" w:hAnsi="Palatino Linotype"/>
                <w:lang w:val="en-US"/>
              </w:rPr>
            </w:pPr>
            <w:r w:rsidRPr="00612443">
              <w:rPr>
                <w:rFonts w:ascii="Palatino Linotype" w:hAnsi="Palatino Linotype"/>
                <w:lang w:val="en-US"/>
              </w:rPr>
              <w:t xml:space="preserve">Table </w:t>
            </w:r>
            <w:r w:rsidR="00444D56">
              <w:rPr>
                <w:rFonts w:ascii="Palatino Linotype" w:hAnsi="Palatino Linotype"/>
                <w:lang w:val="en-US"/>
              </w:rPr>
              <w:t>3</w:t>
            </w:r>
            <w:r w:rsidRPr="00612443">
              <w:rPr>
                <w:rFonts w:ascii="Palatino Linotype" w:hAnsi="Palatino Linotype"/>
                <w:lang w:val="en-US"/>
              </w:rPr>
              <w:t xml:space="preserve">: The </w:t>
            </w:r>
            <w:r w:rsidR="00F911CE" w:rsidRPr="00612443">
              <w:rPr>
                <w:rFonts w:ascii="Palatino Linotype" w:hAnsi="Palatino Linotype"/>
                <w:lang w:val="en-US"/>
              </w:rPr>
              <w:t xml:space="preserve">intervention impact on the distribution of inflation expectations </w:t>
            </w:r>
            <w:r w:rsidRPr="00612443">
              <w:rPr>
                <w:rFonts w:ascii="Palatino Linotype" w:hAnsi="Palatino Linotype"/>
                <w:lang w:val="en-US"/>
              </w:rPr>
              <w:t>(</w:t>
            </w:r>
            <w:r w:rsidR="008458E8" w:rsidRPr="00612443">
              <w:rPr>
                <w:rFonts w:ascii="Palatino Linotype" w:hAnsi="Palatino Linotype"/>
                <w:position w:val="-12"/>
                <w:lang w:val="en-US"/>
              </w:rPr>
              <w:object w:dxaOrig="279" w:dyaOrig="360">
                <v:shape id="_x0000_i1036" type="#_x0000_t75" style="width:14.25pt;height:18pt" o:ole="">
                  <v:imagedata r:id="rId38" o:title=""/>
                </v:shape>
                <o:OLEObject Type="Embed" ProgID="Equation.DSMT4" ShapeID="_x0000_i1036" DrawAspect="Content" ObjectID="_1552495472" r:id="rId39"/>
              </w:object>
            </w:r>
            <w:r w:rsidRPr="00612443">
              <w:rPr>
                <w:rFonts w:ascii="Palatino Linotype" w:hAnsi="Palatino Linotype"/>
                <w:lang w:val="en-US"/>
              </w:rPr>
              <w:t>)</w:t>
            </w:r>
          </w:p>
          <w:p w:rsidR="008352B0" w:rsidRPr="00612443" w:rsidRDefault="008352B0" w:rsidP="00F911CE">
            <w:pPr>
              <w:jc w:val="center"/>
              <w:rPr>
                <w:rFonts w:ascii="Palatino Linotype" w:hAnsi="Palatino Linotype"/>
                <w:lang w:val="en-US"/>
              </w:rPr>
            </w:pPr>
            <w:r w:rsidRPr="00612443">
              <w:rPr>
                <w:rFonts w:ascii="Palatino Linotype" w:hAnsi="Palatino Linotype"/>
                <w:lang w:val="en-US"/>
              </w:rPr>
              <w:t xml:space="preserve">Granger </w:t>
            </w:r>
            <w:r w:rsidR="00F911CE" w:rsidRPr="00612443">
              <w:rPr>
                <w:rFonts w:ascii="Palatino Linotype" w:hAnsi="Palatino Linotype"/>
                <w:lang w:val="en-US"/>
              </w:rPr>
              <w:t xml:space="preserve">causality analysis </w:t>
            </w:r>
            <w:r w:rsidRPr="00612443">
              <w:rPr>
                <w:rFonts w:ascii="Palatino Linotype" w:hAnsi="Palatino Linotype"/>
                <w:lang w:val="en-US"/>
              </w:rPr>
              <w:t xml:space="preserve">with SUR, </w:t>
            </w:r>
            <w:r w:rsidR="00F911CE" w:rsidRPr="00612443">
              <w:rPr>
                <w:rFonts w:ascii="Palatino Linotype" w:hAnsi="Palatino Linotype"/>
                <w:lang w:val="en-US"/>
              </w:rPr>
              <w:t>expectations one month ahead</w:t>
            </w:r>
          </w:p>
        </w:tc>
      </w:tr>
      <w:tr w:rsidR="008352B0" w:rsidRPr="00612443" w:rsidTr="008B51C4">
        <w:tc>
          <w:tcPr>
            <w:tcW w:w="8978" w:type="dxa"/>
            <w:vAlign w:val="center"/>
          </w:tcPr>
          <w:p w:rsidR="008352B0" w:rsidRPr="00612443" w:rsidRDefault="008B51C4" w:rsidP="008352B0">
            <w:pPr>
              <w:jc w:val="center"/>
              <w:rPr>
                <w:rFonts w:ascii="Palatino Linotype" w:hAnsi="Palatino Linotype"/>
                <w:lang w:val="en-US"/>
              </w:rPr>
            </w:pPr>
            <w:r w:rsidRPr="00612443">
              <w:rPr>
                <w:rFonts w:ascii="Palatino Linotype" w:hAnsi="Palatino Linotype"/>
                <w:lang w:val="en-US" w:eastAsia="en-US"/>
              </w:rPr>
              <w:drawing>
                <wp:inline distT="0" distB="0" distL="0" distR="0" wp14:anchorId="165B08C3" wp14:editId="3D6BD657">
                  <wp:extent cx="4495770" cy="1680150"/>
                  <wp:effectExtent l="19050" t="0" r="30" b="0"/>
                  <wp:docPr id="7" name="6 Imagen" descr="Table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1.wmf"/>
                          <pic:cNvPicPr/>
                        </pic:nvPicPr>
                        <pic:blipFill>
                          <a:blip r:embed="rId40"/>
                          <a:stretch>
                            <a:fillRect/>
                          </a:stretch>
                        </pic:blipFill>
                        <pic:spPr>
                          <a:xfrm>
                            <a:off x="0" y="0"/>
                            <a:ext cx="4495770" cy="1680150"/>
                          </a:xfrm>
                          <a:prstGeom prst="rect">
                            <a:avLst/>
                          </a:prstGeom>
                        </pic:spPr>
                      </pic:pic>
                    </a:graphicData>
                  </a:graphic>
                </wp:inline>
              </w:drawing>
            </w:r>
          </w:p>
        </w:tc>
      </w:tr>
    </w:tbl>
    <w:p w:rsidR="0058159B" w:rsidRPr="00612443" w:rsidRDefault="0058159B" w:rsidP="0058159B">
      <w:pPr>
        <w:rPr>
          <w:rFonts w:ascii="Palatino Linotype" w:hAnsi="Palatino Linotype"/>
          <w:lang w:val="en-US"/>
        </w:rPr>
      </w:pPr>
    </w:p>
    <w:p w:rsidR="008352B0" w:rsidRPr="00612443" w:rsidRDefault="008352B0" w:rsidP="0058159B">
      <w:pPr>
        <w:rPr>
          <w:rFonts w:ascii="Palatino Linotype" w:hAnsi="Palatino Linotype"/>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 xml:space="preserve">Table </w:t>
      </w:r>
      <w:r w:rsidR="00444D56">
        <w:rPr>
          <w:rFonts w:ascii="Palatino Linotype" w:hAnsi="Palatino Linotype"/>
          <w:sz w:val="22"/>
          <w:szCs w:val="22"/>
          <w:lang w:val="en-US"/>
        </w:rPr>
        <w:t>4</w:t>
      </w:r>
      <w:r w:rsidRPr="00612443">
        <w:rPr>
          <w:rFonts w:ascii="Palatino Linotype" w:hAnsi="Palatino Linotype"/>
          <w:sz w:val="22"/>
          <w:szCs w:val="22"/>
          <w:lang w:val="en-US"/>
        </w:rPr>
        <w:t xml:space="preserve"> below shows a quite different view for inflation expectations 12 months ahead as </w:t>
      </w:r>
      <w:r w:rsidR="00F911CE" w:rsidRPr="00612443">
        <w:rPr>
          <w:rFonts w:ascii="Palatino Linotype" w:hAnsi="Palatino Linotype"/>
          <w:sz w:val="22"/>
          <w:szCs w:val="22"/>
          <w:lang w:val="en-US"/>
        </w:rPr>
        <w:t>eight</w:t>
      </w:r>
      <w:r w:rsidRPr="00612443">
        <w:rPr>
          <w:rFonts w:ascii="Palatino Linotype" w:hAnsi="Palatino Linotype"/>
          <w:sz w:val="22"/>
          <w:szCs w:val="22"/>
          <w:lang w:val="en-US"/>
        </w:rPr>
        <w:t xml:space="preserve"> out of the </w:t>
      </w:r>
      <w:r w:rsidR="00F911CE" w:rsidRPr="00612443">
        <w:rPr>
          <w:rFonts w:ascii="Palatino Linotype" w:hAnsi="Palatino Linotype"/>
          <w:sz w:val="22"/>
          <w:szCs w:val="22"/>
          <w:lang w:val="en-US"/>
        </w:rPr>
        <w:t>nine</w:t>
      </w:r>
      <w:r w:rsidRPr="00612443">
        <w:rPr>
          <w:rFonts w:ascii="Palatino Linotype" w:hAnsi="Palatino Linotype"/>
          <w:sz w:val="22"/>
          <w:szCs w:val="22"/>
          <w:lang w:val="en-US"/>
        </w:rPr>
        <w:t xml:space="preserve"> deciles are statistically no</w:t>
      </w:r>
      <w:r w:rsidR="00F911CE" w:rsidRPr="00612443">
        <w:rPr>
          <w:rFonts w:ascii="Palatino Linotype" w:hAnsi="Palatino Linotype"/>
          <w:sz w:val="22"/>
          <w:szCs w:val="22"/>
          <w:lang w:val="en-US"/>
        </w:rPr>
        <w:t>t</w:t>
      </w:r>
      <w:r w:rsidRPr="00612443">
        <w:rPr>
          <w:rFonts w:ascii="Palatino Linotype" w:hAnsi="Palatino Linotype"/>
          <w:sz w:val="22"/>
          <w:szCs w:val="22"/>
          <w:lang w:val="en-US"/>
        </w:rPr>
        <w:t xml:space="preserve"> indifferent to the amount of interventions at the 10% level. In terms of the economic interpretation, we see coefficients that are far from negligible. For instance, for the median of inflation expectations one year ahead</w:t>
      </w:r>
      <w:r w:rsidR="00F911CE" w:rsidRPr="00612443">
        <w:rPr>
          <w:rFonts w:ascii="Palatino Linotype" w:hAnsi="Palatino Linotype"/>
          <w:sz w:val="22"/>
          <w:szCs w:val="22"/>
          <w:lang w:val="en-US"/>
        </w:rPr>
        <w:t>,</w:t>
      </w:r>
      <w:r w:rsidRPr="00612443">
        <w:rPr>
          <w:rFonts w:ascii="Palatino Linotype" w:hAnsi="Palatino Linotype"/>
          <w:sz w:val="22"/>
          <w:szCs w:val="22"/>
          <w:lang w:val="en-US"/>
        </w:rPr>
        <w:t xml:space="preserve"> we obtain a coefficient of 0.313, indicating that an increment of </w:t>
      </w:r>
      <w:r w:rsidR="00F911CE" w:rsidRPr="00612443">
        <w:rPr>
          <w:rFonts w:ascii="Palatino Linotype" w:hAnsi="Palatino Linotype"/>
          <w:sz w:val="22"/>
          <w:szCs w:val="22"/>
          <w:lang w:val="en-US"/>
        </w:rPr>
        <w:t>$</w:t>
      </w:r>
      <w:r w:rsidRPr="00612443">
        <w:rPr>
          <w:rFonts w:ascii="Palatino Linotype" w:hAnsi="Palatino Linotype"/>
          <w:sz w:val="22"/>
          <w:szCs w:val="22"/>
          <w:lang w:val="en-US"/>
        </w:rPr>
        <w:t>1 billion in purchases predicts a rise of 31.3 basis points in inflation expectations one year ahead. It is</w:t>
      </w:r>
      <w:r w:rsidR="001356CD" w:rsidRPr="00612443">
        <w:rPr>
          <w:rFonts w:ascii="Palatino Linotype" w:hAnsi="Palatino Linotype"/>
          <w:sz w:val="22"/>
          <w:szCs w:val="22"/>
          <w:lang w:val="en-US"/>
        </w:rPr>
        <w:t xml:space="preserve"> interesting to remark that the</w:t>
      </w:r>
      <w:r w:rsidRPr="00612443">
        <w:rPr>
          <w:rFonts w:ascii="Palatino Linotype" w:hAnsi="Palatino Linotype"/>
          <w:sz w:val="22"/>
          <w:szCs w:val="22"/>
          <w:lang w:val="en-US"/>
        </w:rPr>
        <w:t xml:space="preserve"> impact is </w:t>
      </w:r>
      <w:r w:rsidR="001356CD" w:rsidRPr="00612443">
        <w:rPr>
          <w:rFonts w:ascii="Palatino Linotype" w:hAnsi="Palatino Linotype"/>
          <w:sz w:val="22"/>
          <w:szCs w:val="22"/>
          <w:lang w:val="en-US"/>
        </w:rPr>
        <w:t xml:space="preserve">the </w:t>
      </w:r>
      <w:r w:rsidRPr="00612443">
        <w:rPr>
          <w:rFonts w:ascii="Palatino Linotype" w:hAnsi="Palatino Linotype"/>
          <w:sz w:val="22"/>
          <w:szCs w:val="22"/>
          <w:lang w:val="en-US"/>
        </w:rPr>
        <w:t xml:space="preserve">highest </w:t>
      </w:r>
      <w:r w:rsidR="00F911CE" w:rsidRPr="00612443">
        <w:rPr>
          <w:rFonts w:ascii="Palatino Linotype" w:hAnsi="Palatino Linotype"/>
          <w:sz w:val="22"/>
          <w:szCs w:val="22"/>
          <w:lang w:val="en-US"/>
        </w:rPr>
        <w:t xml:space="preserve">in </w:t>
      </w:r>
      <w:r w:rsidR="001356CD" w:rsidRPr="00612443">
        <w:rPr>
          <w:rFonts w:ascii="Palatino Linotype" w:hAnsi="Palatino Linotype"/>
          <w:sz w:val="22"/>
          <w:szCs w:val="22"/>
          <w:lang w:val="en-US"/>
        </w:rPr>
        <w:t>the case</w:t>
      </w:r>
      <w:r w:rsidR="00F911CE" w:rsidRPr="00612443">
        <w:rPr>
          <w:rFonts w:ascii="Palatino Linotype" w:hAnsi="Palatino Linotype"/>
          <w:sz w:val="22"/>
          <w:szCs w:val="22"/>
          <w:lang w:val="en-US"/>
        </w:rPr>
        <w:t xml:space="preserve"> to </w:t>
      </w:r>
      <w:r w:rsidRPr="00612443">
        <w:rPr>
          <w:rFonts w:ascii="Palatino Linotype" w:hAnsi="Palatino Linotype"/>
          <w:sz w:val="22"/>
          <w:szCs w:val="22"/>
          <w:lang w:val="en-US"/>
        </w:rPr>
        <w:t xml:space="preserve">the ninth decile. In this case an increment of </w:t>
      </w:r>
      <w:r w:rsidR="00F911CE" w:rsidRPr="00612443">
        <w:rPr>
          <w:rFonts w:ascii="Palatino Linotype" w:hAnsi="Palatino Linotype"/>
          <w:sz w:val="22"/>
          <w:szCs w:val="22"/>
          <w:lang w:val="en-US"/>
        </w:rPr>
        <w:t>$</w:t>
      </w:r>
      <w:r w:rsidRPr="00612443">
        <w:rPr>
          <w:rFonts w:ascii="Palatino Linotype" w:hAnsi="Palatino Linotype"/>
          <w:sz w:val="22"/>
          <w:szCs w:val="22"/>
          <w:lang w:val="en-US"/>
        </w:rPr>
        <w:t>1 billion in purchases predicts a rise of 39.4 basis points in inflation expectations one year ahead.</w:t>
      </w:r>
    </w:p>
    <w:p w:rsidR="0058159B" w:rsidRPr="00612443" w:rsidRDefault="0058159B">
      <w:pPr>
        <w:ind w:firstLine="300"/>
        <w:rPr>
          <w:rFonts w:ascii="Palatino Linotype" w:hAnsi="Palatino Linotype"/>
          <w:sz w:val="22"/>
          <w:szCs w:val="22"/>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8B51C4" w:rsidRPr="00612443" w:rsidTr="008B51C4">
        <w:tc>
          <w:tcPr>
            <w:tcW w:w="8978" w:type="dxa"/>
          </w:tcPr>
          <w:p w:rsidR="008B51C4" w:rsidRPr="00612443" w:rsidRDefault="008B51C4" w:rsidP="008B51C4">
            <w:pPr>
              <w:jc w:val="center"/>
              <w:rPr>
                <w:rFonts w:ascii="Palatino Linotype" w:hAnsi="Palatino Linotype"/>
                <w:lang w:val="en-US"/>
              </w:rPr>
            </w:pPr>
            <w:r w:rsidRPr="00612443">
              <w:rPr>
                <w:rFonts w:ascii="Palatino Linotype" w:hAnsi="Palatino Linotype"/>
                <w:lang w:val="en-US"/>
              </w:rPr>
              <w:t xml:space="preserve">Table </w:t>
            </w:r>
            <w:r w:rsidR="00444D56">
              <w:rPr>
                <w:rFonts w:ascii="Palatino Linotype" w:hAnsi="Palatino Linotype"/>
                <w:lang w:val="en-US"/>
              </w:rPr>
              <w:t>4</w:t>
            </w:r>
            <w:r w:rsidRPr="00612443">
              <w:rPr>
                <w:rFonts w:ascii="Palatino Linotype" w:hAnsi="Palatino Linotype"/>
                <w:lang w:val="en-US"/>
              </w:rPr>
              <w:t xml:space="preserve">: The </w:t>
            </w:r>
            <w:r w:rsidR="00F911CE" w:rsidRPr="00612443">
              <w:rPr>
                <w:rFonts w:ascii="Palatino Linotype" w:hAnsi="Palatino Linotype"/>
                <w:lang w:val="en-US"/>
              </w:rPr>
              <w:t xml:space="preserve">intervention impact on the distribution of inflation expectations </w:t>
            </w:r>
            <w:r w:rsidRPr="00612443">
              <w:rPr>
                <w:rFonts w:ascii="Palatino Linotype" w:hAnsi="Palatino Linotype"/>
                <w:lang w:val="en-US"/>
              </w:rPr>
              <w:t>(</w:t>
            </w:r>
            <w:r w:rsidR="008458E8" w:rsidRPr="00612443">
              <w:rPr>
                <w:rFonts w:ascii="Palatino Linotype" w:hAnsi="Palatino Linotype"/>
                <w:position w:val="-12"/>
                <w:lang w:val="en-US"/>
              </w:rPr>
              <w:object w:dxaOrig="360" w:dyaOrig="360">
                <v:shape id="_x0000_i1037" type="#_x0000_t75" style="width:18pt;height:18pt" o:ole="">
                  <v:imagedata r:id="rId41" o:title=""/>
                </v:shape>
                <o:OLEObject Type="Embed" ProgID="Equation.DSMT4" ShapeID="_x0000_i1037" DrawAspect="Content" ObjectID="_1552495473" r:id="rId42"/>
              </w:object>
            </w:r>
            <w:r w:rsidRPr="00612443">
              <w:rPr>
                <w:rFonts w:ascii="Palatino Linotype" w:hAnsi="Palatino Linotype"/>
                <w:lang w:val="en-US"/>
              </w:rPr>
              <w:t>)</w:t>
            </w:r>
          </w:p>
          <w:p w:rsidR="008B51C4" w:rsidRPr="00612443" w:rsidRDefault="008B51C4" w:rsidP="00F911CE">
            <w:pPr>
              <w:jc w:val="center"/>
              <w:rPr>
                <w:rFonts w:ascii="Palatino Linotype" w:hAnsi="Palatino Linotype"/>
                <w:lang w:val="en-US"/>
              </w:rPr>
            </w:pPr>
            <w:r w:rsidRPr="00612443">
              <w:rPr>
                <w:rFonts w:ascii="Palatino Linotype" w:hAnsi="Palatino Linotype"/>
                <w:lang w:val="en-US"/>
              </w:rPr>
              <w:t xml:space="preserve">Granger </w:t>
            </w:r>
            <w:r w:rsidR="00F911CE" w:rsidRPr="00612443">
              <w:rPr>
                <w:rFonts w:ascii="Palatino Linotype" w:hAnsi="Palatino Linotype"/>
                <w:lang w:val="en-US"/>
              </w:rPr>
              <w:t xml:space="preserve">causality analysis </w:t>
            </w:r>
            <w:r w:rsidRPr="00612443">
              <w:rPr>
                <w:rFonts w:ascii="Palatino Linotype" w:hAnsi="Palatino Linotype"/>
                <w:lang w:val="en-US"/>
              </w:rPr>
              <w:t xml:space="preserve">with SUR, </w:t>
            </w:r>
            <w:r w:rsidR="00F911CE" w:rsidRPr="00612443">
              <w:rPr>
                <w:rFonts w:ascii="Palatino Linotype" w:hAnsi="Palatino Linotype"/>
                <w:lang w:val="en-US"/>
              </w:rPr>
              <w:t>expectations one year ahead</w:t>
            </w:r>
          </w:p>
        </w:tc>
      </w:tr>
      <w:tr w:rsidR="008B51C4" w:rsidRPr="00612443" w:rsidTr="008B51C4">
        <w:tc>
          <w:tcPr>
            <w:tcW w:w="8978" w:type="dxa"/>
          </w:tcPr>
          <w:p w:rsidR="008B51C4" w:rsidRPr="00612443" w:rsidRDefault="008B51C4" w:rsidP="008B51C4">
            <w:pPr>
              <w:jc w:val="center"/>
              <w:rPr>
                <w:rFonts w:ascii="Palatino Linotype" w:hAnsi="Palatino Linotype"/>
                <w:lang w:val="en-US"/>
              </w:rPr>
            </w:pPr>
            <w:r w:rsidRPr="00612443">
              <w:rPr>
                <w:rFonts w:ascii="Palatino Linotype" w:hAnsi="Palatino Linotype"/>
                <w:lang w:val="en-US" w:eastAsia="en-US"/>
              </w:rPr>
              <w:drawing>
                <wp:inline distT="0" distB="0" distL="0" distR="0" wp14:anchorId="6D0A959A" wp14:editId="4A1A3885">
                  <wp:extent cx="4495770" cy="1680150"/>
                  <wp:effectExtent l="19050" t="0" r="30" b="0"/>
                  <wp:docPr id="8" name="7 Imagen" descr="Table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2.wmf"/>
                          <pic:cNvPicPr/>
                        </pic:nvPicPr>
                        <pic:blipFill>
                          <a:blip r:embed="rId43"/>
                          <a:stretch>
                            <a:fillRect/>
                          </a:stretch>
                        </pic:blipFill>
                        <pic:spPr>
                          <a:xfrm>
                            <a:off x="0" y="0"/>
                            <a:ext cx="4495770" cy="1680150"/>
                          </a:xfrm>
                          <a:prstGeom prst="rect">
                            <a:avLst/>
                          </a:prstGeom>
                        </pic:spPr>
                      </pic:pic>
                    </a:graphicData>
                  </a:graphic>
                </wp:inline>
              </w:drawing>
            </w:r>
          </w:p>
        </w:tc>
      </w:tr>
    </w:tbl>
    <w:p w:rsidR="0058159B" w:rsidRPr="00612443" w:rsidRDefault="0058159B" w:rsidP="008B51C4">
      <w:pPr>
        <w:jc w:val="center"/>
        <w:rPr>
          <w:rFonts w:ascii="Palatino Linotype" w:hAnsi="Palatino Linotype"/>
          <w:lang w:val="en-US"/>
        </w:rPr>
      </w:pPr>
    </w:p>
    <w:p w:rsidR="008B51C4" w:rsidRPr="00612443" w:rsidRDefault="008B51C4" w:rsidP="0058159B">
      <w:pPr>
        <w:rPr>
          <w:rFonts w:ascii="Palatino Linotype" w:hAnsi="Palatino Linotype"/>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 xml:space="preserve">Table </w:t>
      </w:r>
      <w:r w:rsidR="00444D56">
        <w:rPr>
          <w:rFonts w:ascii="Palatino Linotype" w:hAnsi="Palatino Linotype"/>
          <w:sz w:val="22"/>
          <w:szCs w:val="22"/>
          <w:lang w:val="en-US"/>
        </w:rPr>
        <w:t>5</w:t>
      </w:r>
      <w:r w:rsidRPr="00612443">
        <w:rPr>
          <w:rFonts w:ascii="Palatino Linotype" w:hAnsi="Palatino Linotype"/>
          <w:sz w:val="22"/>
          <w:szCs w:val="22"/>
          <w:lang w:val="en-US"/>
        </w:rPr>
        <w:t xml:space="preserve"> below indicates that the amount of the interventions seems to have an impact on only two or three deciles of the distribution of inflation expectations </w:t>
      </w:r>
      <w:r w:rsidR="00F400D0" w:rsidRPr="00612443">
        <w:rPr>
          <w:rFonts w:ascii="Palatino Linotype" w:hAnsi="Palatino Linotype"/>
          <w:sz w:val="22"/>
          <w:szCs w:val="22"/>
          <w:lang w:val="en-US"/>
        </w:rPr>
        <w:t>two</w:t>
      </w:r>
      <w:r w:rsidRPr="00612443">
        <w:rPr>
          <w:rFonts w:ascii="Palatino Linotype" w:hAnsi="Palatino Linotype"/>
          <w:sz w:val="22"/>
          <w:szCs w:val="22"/>
          <w:lang w:val="en-US"/>
        </w:rPr>
        <w:t xml:space="preserve"> years ahead. In particular</w:t>
      </w:r>
      <w:r w:rsidR="00F400D0" w:rsidRPr="00612443">
        <w:rPr>
          <w:rFonts w:ascii="Palatino Linotype" w:hAnsi="Palatino Linotype"/>
          <w:sz w:val="22"/>
          <w:szCs w:val="22"/>
          <w:lang w:val="en-US"/>
        </w:rPr>
        <w:t>,</w:t>
      </w:r>
      <w:r w:rsidRPr="00612443">
        <w:rPr>
          <w:rFonts w:ascii="Palatino Linotype" w:hAnsi="Palatino Linotype"/>
          <w:sz w:val="22"/>
          <w:szCs w:val="22"/>
          <w:lang w:val="en-US"/>
        </w:rPr>
        <w:t xml:space="preserve"> the impact on the median of the distribution is statistically significant with a</w:t>
      </w:r>
      <w:r w:rsidR="00F400D0" w:rsidRPr="00612443">
        <w:rPr>
          <w:rFonts w:ascii="Palatino Linotype" w:hAnsi="Palatino Linotype"/>
          <w:sz w:val="22"/>
          <w:szCs w:val="22"/>
          <w:lang w:val="en-US"/>
        </w:rPr>
        <w:t>n</w:t>
      </w:r>
      <w:r w:rsidRPr="00612443">
        <w:rPr>
          <w:rFonts w:ascii="Palatino Linotype" w:hAnsi="Palatino Linotype"/>
          <w:sz w:val="22"/>
          <w:szCs w:val="22"/>
          <w:lang w:val="en-US"/>
        </w:rPr>
        <w:t xml:space="preserve"> 89% confidence level. The economic impact is much lower than in Table </w:t>
      </w:r>
      <w:r w:rsidR="00444D56">
        <w:rPr>
          <w:rFonts w:ascii="Palatino Linotype" w:hAnsi="Palatino Linotype"/>
          <w:sz w:val="22"/>
          <w:szCs w:val="22"/>
          <w:lang w:val="en-US"/>
        </w:rPr>
        <w:t>4</w:t>
      </w:r>
      <w:r w:rsidRPr="00612443">
        <w:rPr>
          <w:rFonts w:ascii="Palatino Linotype" w:hAnsi="Palatino Linotype"/>
          <w:sz w:val="22"/>
          <w:szCs w:val="22"/>
          <w:lang w:val="en-US"/>
        </w:rPr>
        <w:t xml:space="preserve">. For instance, for the median of inflation expectations we obtain a coefficient of 0.082, indicating that an increment of </w:t>
      </w:r>
      <w:r w:rsidR="00F400D0" w:rsidRPr="00612443">
        <w:rPr>
          <w:rFonts w:ascii="Palatino Linotype" w:hAnsi="Palatino Linotype"/>
          <w:sz w:val="22"/>
          <w:szCs w:val="22"/>
          <w:lang w:val="en-US"/>
        </w:rPr>
        <w:t>$</w:t>
      </w:r>
      <w:r w:rsidRPr="00612443">
        <w:rPr>
          <w:rFonts w:ascii="Palatino Linotype" w:hAnsi="Palatino Linotype"/>
          <w:sz w:val="22"/>
          <w:szCs w:val="22"/>
          <w:lang w:val="en-US"/>
        </w:rPr>
        <w:t xml:space="preserve">1 billion in purchases predicts a rise of 8.2 basis points in inflation expectations two years ahead. It is interesting to remark that this impact is </w:t>
      </w:r>
      <w:r w:rsidR="001356CD" w:rsidRPr="00612443">
        <w:rPr>
          <w:rFonts w:ascii="Palatino Linotype" w:hAnsi="Palatino Linotype"/>
          <w:sz w:val="22"/>
          <w:szCs w:val="22"/>
          <w:lang w:val="en-US"/>
        </w:rPr>
        <w:t xml:space="preserve">the </w:t>
      </w:r>
      <w:r w:rsidRPr="00612443">
        <w:rPr>
          <w:rFonts w:ascii="Palatino Linotype" w:hAnsi="Palatino Linotype"/>
          <w:sz w:val="22"/>
          <w:szCs w:val="22"/>
          <w:lang w:val="en-US"/>
        </w:rPr>
        <w:t xml:space="preserve">highest </w:t>
      </w:r>
      <w:r w:rsidR="001356CD" w:rsidRPr="00612443">
        <w:rPr>
          <w:rFonts w:ascii="Palatino Linotype" w:hAnsi="Palatino Linotype"/>
          <w:sz w:val="22"/>
          <w:szCs w:val="22"/>
          <w:lang w:val="en-US"/>
        </w:rPr>
        <w:t xml:space="preserve">in </w:t>
      </w:r>
      <w:r w:rsidR="001356CD" w:rsidRPr="00612443">
        <w:rPr>
          <w:rFonts w:ascii="Palatino Linotype" w:hAnsi="Palatino Linotype"/>
          <w:sz w:val="22"/>
          <w:szCs w:val="22"/>
          <w:lang w:val="en-US"/>
        </w:rPr>
        <w:lastRenderedPageBreak/>
        <w:t>the case of</w:t>
      </w:r>
      <w:r w:rsidR="00F400D0" w:rsidRPr="00612443">
        <w:rPr>
          <w:rFonts w:ascii="Palatino Linotype" w:hAnsi="Palatino Linotype"/>
          <w:sz w:val="22"/>
          <w:szCs w:val="22"/>
          <w:lang w:val="en-US"/>
        </w:rPr>
        <w:t xml:space="preserve"> </w:t>
      </w:r>
      <w:r w:rsidRPr="00612443">
        <w:rPr>
          <w:rFonts w:ascii="Palatino Linotype" w:hAnsi="Palatino Linotype"/>
          <w:sz w:val="22"/>
          <w:szCs w:val="22"/>
          <w:lang w:val="en-US"/>
        </w:rPr>
        <w:t>the fourth decile. In this case</w:t>
      </w:r>
      <w:r w:rsidR="00F400D0" w:rsidRPr="00612443">
        <w:rPr>
          <w:rFonts w:ascii="Palatino Linotype" w:hAnsi="Palatino Linotype"/>
          <w:sz w:val="22"/>
          <w:szCs w:val="22"/>
          <w:lang w:val="en-US"/>
        </w:rPr>
        <w:t>,</w:t>
      </w:r>
      <w:r w:rsidRPr="00612443">
        <w:rPr>
          <w:rFonts w:ascii="Palatino Linotype" w:hAnsi="Palatino Linotype"/>
          <w:sz w:val="22"/>
          <w:szCs w:val="22"/>
          <w:lang w:val="en-US"/>
        </w:rPr>
        <w:t xml:space="preserve"> an increment of </w:t>
      </w:r>
      <w:r w:rsidR="00F400D0" w:rsidRPr="00612443">
        <w:rPr>
          <w:rFonts w:ascii="Palatino Linotype" w:hAnsi="Palatino Linotype"/>
          <w:sz w:val="22"/>
          <w:szCs w:val="22"/>
          <w:lang w:val="en-US"/>
        </w:rPr>
        <w:t>$</w:t>
      </w:r>
      <w:r w:rsidRPr="00612443">
        <w:rPr>
          <w:rFonts w:ascii="Palatino Linotype" w:hAnsi="Palatino Linotype"/>
          <w:sz w:val="22"/>
          <w:szCs w:val="22"/>
          <w:lang w:val="en-US"/>
        </w:rPr>
        <w:t>1 billion in purchases predicts a rise of 9.5 basis points in inflation expectations two years ahead.</w:t>
      </w:r>
    </w:p>
    <w:p w:rsidR="0058159B" w:rsidRPr="00612443" w:rsidRDefault="0058159B">
      <w:pPr>
        <w:ind w:firstLine="300"/>
        <w:rPr>
          <w:rFonts w:ascii="Palatino Linotype" w:hAnsi="Palatino Linotype"/>
          <w:sz w:val="22"/>
          <w:szCs w:val="22"/>
          <w:lang w:val="en-US"/>
        </w:rPr>
      </w:pPr>
    </w:p>
    <w:p w:rsidR="0058159B" w:rsidRPr="00612443" w:rsidRDefault="0058159B" w:rsidP="0058159B">
      <w:pPr>
        <w:rPr>
          <w:rFonts w:ascii="Palatino Linotype" w:hAnsi="Palatino Linotype"/>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8B51C4" w:rsidRPr="00612443" w:rsidTr="008B51C4">
        <w:tc>
          <w:tcPr>
            <w:tcW w:w="8978" w:type="dxa"/>
          </w:tcPr>
          <w:p w:rsidR="008B51C4" w:rsidRPr="00612443" w:rsidRDefault="008B51C4" w:rsidP="008B51C4">
            <w:pPr>
              <w:jc w:val="center"/>
              <w:rPr>
                <w:rFonts w:ascii="Palatino Linotype" w:hAnsi="Palatino Linotype"/>
                <w:lang w:val="en-US"/>
              </w:rPr>
            </w:pPr>
            <w:r w:rsidRPr="00612443">
              <w:rPr>
                <w:rFonts w:ascii="Palatino Linotype" w:hAnsi="Palatino Linotype"/>
                <w:lang w:val="en-US"/>
              </w:rPr>
              <w:t xml:space="preserve">Table </w:t>
            </w:r>
            <w:r w:rsidR="00444D56">
              <w:rPr>
                <w:rFonts w:ascii="Palatino Linotype" w:hAnsi="Palatino Linotype"/>
                <w:lang w:val="en-US"/>
              </w:rPr>
              <w:t>5</w:t>
            </w:r>
            <w:r w:rsidRPr="00612443">
              <w:rPr>
                <w:rFonts w:ascii="Palatino Linotype" w:hAnsi="Palatino Linotype"/>
                <w:lang w:val="en-US"/>
              </w:rPr>
              <w:t xml:space="preserve">: The </w:t>
            </w:r>
            <w:r w:rsidR="00786816" w:rsidRPr="00612443">
              <w:rPr>
                <w:rFonts w:ascii="Palatino Linotype" w:hAnsi="Palatino Linotype"/>
                <w:lang w:val="en-US"/>
              </w:rPr>
              <w:t xml:space="preserve">intervention impact on the distribution of inflation expectations </w:t>
            </w:r>
            <w:r w:rsidRPr="00612443">
              <w:rPr>
                <w:rFonts w:ascii="Palatino Linotype" w:hAnsi="Palatino Linotype"/>
                <w:lang w:val="en-US"/>
              </w:rPr>
              <w:t>(</w:t>
            </w:r>
            <w:r w:rsidR="008458E8" w:rsidRPr="00612443">
              <w:rPr>
                <w:rFonts w:ascii="Palatino Linotype" w:hAnsi="Palatino Linotype"/>
                <w:position w:val="-12"/>
                <w:lang w:val="en-US"/>
              </w:rPr>
              <w:object w:dxaOrig="380" w:dyaOrig="360">
                <v:shape id="_x0000_i1038" type="#_x0000_t75" style="width:18.75pt;height:18pt" o:ole="">
                  <v:imagedata r:id="rId44" o:title=""/>
                </v:shape>
                <o:OLEObject Type="Embed" ProgID="Equation.DSMT4" ShapeID="_x0000_i1038" DrawAspect="Content" ObjectID="_1552495474" r:id="rId45"/>
              </w:object>
            </w:r>
            <w:r w:rsidRPr="00612443">
              <w:rPr>
                <w:rFonts w:ascii="Palatino Linotype" w:hAnsi="Palatino Linotype"/>
                <w:lang w:val="en-US"/>
              </w:rPr>
              <w:t>)</w:t>
            </w:r>
          </w:p>
          <w:p w:rsidR="008B51C4" w:rsidRPr="00612443" w:rsidRDefault="008B51C4" w:rsidP="00786816">
            <w:pPr>
              <w:jc w:val="center"/>
              <w:rPr>
                <w:rFonts w:ascii="Palatino Linotype" w:hAnsi="Palatino Linotype"/>
                <w:lang w:val="en-US"/>
              </w:rPr>
            </w:pPr>
            <w:r w:rsidRPr="00612443">
              <w:rPr>
                <w:rFonts w:ascii="Palatino Linotype" w:hAnsi="Palatino Linotype"/>
                <w:lang w:val="en-US"/>
              </w:rPr>
              <w:t xml:space="preserve">Granger </w:t>
            </w:r>
            <w:r w:rsidR="00786816" w:rsidRPr="00612443">
              <w:rPr>
                <w:rFonts w:ascii="Palatino Linotype" w:hAnsi="Palatino Linotype"/>
                <w:lang w:val="en-US"/>
              </w:rPr>
              <w:t xml:space="preserve">causality analysis </w:t>
            </w:r>
            <w:r w:rsidRPr="00612443">
              <w:rPr>
                <w:rFonts w:ascii="Palatino Linotype" w:hAnsi="Palatino Linotype"/>
                <w:lang w:val="en-US"/>
              </w:rPr>
              <w:t xml:space="preserve">with SUR, </w:t>
            </w:r>
            <w:r w:rsidR="00786816" w:rsidRPr="00612443">
              <w:rPr>
                <w:rFonts w:ascii="Palatino Linotype" w:hAnsi="Palatino Linotype"/>
                <w:lang w:val="en-US"/>
              </w:rPr>
              <w:t>expectations two years ahead</w:t>
            </w:r>
          </w:p>
        </w:tc>
      </w:tr>
      <w:tr w:rsidR="008B51C4" w:rsidRPr="00612443" w:rsidTr="008B51C4">
        <w:tc>
          <w:tcPr>
            <w:tcW w:w="8978" w:type="dxa"/>
          </w:tcPr>
          <w:p w:rsidR="008B51C4" w:rsidRPr="00612443" w:rsidRDefault="008B51C4" w:rsidP="008B51C4">
            <w:pPr>
              <w:jc w:val="center"/>
              <w:rPr>
                <w:rFonts w:ascii="Palatino Linotype" w:hAnsi="Palatino Linotype"/>
                <w:lang w:val="en-US"/>
              </w:rPr>
            </w:pPr>
            <w:r w:rsidRPr="00612443">
              <w:rPr>
                <w:rFonts w:ascii="Palatino Linotype" w:hAnsi="Palatino Linotype"/>
                <w:lang w:val="en-US" w:eastAsia="en-US"/>
              </w:rPr>
              <w:drawing>
                <wp:inline distT="0" distB="0" distL="0" distR="0" wp14:anchorId="62A39395" wp14:editId="386199C4">
                  <wp:extent cx="4495770" cy="1680150"/>
                  <wp:effectExtent l="19050" t="0" r="30" b="0"/>
                  <wp:docPr id="9" name="8 Imagen" descr="Table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3.wmf"/>
                          <pic:cNvPicPr/>
                        </pic:nvPicPr>
                        <pic:blipFill>
                          <a:blip r:embed="rId46"/>
                          <a:stretch>
                            <a:fillRect/>
                          </a:stretch>
                        </pic:blipFill>
                        <pic:spPr>
                          <a:xfrm>
                            <a:off x="0" y="0"/>
                            <a:ext cx="4495770" cy="1680150"/>
                          </a:xfrm>
                          <a:prstGeom prst="rect">
                            <a:avLst/>
                          </a:prstGeom>
                        </pic:spPr>
                      </pic:pic>
                    </a:graphicData>
                  </a:graphic>
                </wp:inline>
              </w:drawing>
            </w:r>
          </w:p>
          <w:p w:rsidR="002F3DB1" w:rsidRPr="00612443" w:rsidRDefault="002F3DB1" w:rsidP="008B51C4">
            <w:pPr>
              <w:jc w:val="center"/>
              <w:rPr>
                <w:rFonts w:ascii="Palatino Linotype" w:hAnsi="Palatino Linotype"/>
                <w:lang w:val="en-US"/>
              </w:rPr>
            </w:pPr>
          </w:p>
          <w:p w:rsidR="001356CD" w:rsidRPr="00612443" w:rsidRDefault="002F3DB1" w:rsidP="001356CD">
            <w:pPr>
              <w:rPr>
                <w:rFonts w:ascii="Palatino Linotype" w:hAnsi="Palatino Linotype"/>
                <w:sz w:val="22"/>
                <w:szCs w:val="22"/>
                <w:lang w:val="en-US"/>
              </w:rPr>
            </w:pPr>
            <w:r w:rsidRPr="00612443">
              <w:rPr>
                <w:rFonts w:ascii="Palatino Linotype" w:hAnsi="Palatino Linotype"/>
                <w:sz w:val="22"/>
                <w:szCs w:val="22"/>
                <w:lang w:val="en-US"/>
              </w:rPr>
              <w:t xml:space="preserve">In Table </w:t>
            </w:r>
            <w:r w:rsidR="00444D56">
              <w:rPr>
                <w:rFonts w:ascii="Palatino Linotype" w:hAnsi="Palatino Linotype"/>
                <w:sz w:val="22"/>
                <w:szCs w:val="22"/>
                <w:lang w:val="en-US"/>
              </w:rPr>
              <w:t>6</w:t>
            </w:r>
            <w:r w:rsidRPr="00612443">
              <w:rPr>
                <w:rFonts w:ascii="Palatino Linotype" w:hAnsi="Palatino Linotype"/>
                <w:sz w:val="22"/>
                <w:szCs w:val="22"/>
                <w:lang w:val="en-US"/>
              </w:rPr>
              <w:t xml:space="preserve"> below, we </w:t>
            </w:r>
            <w:r w:rsidR="00F815ED" w:rsidRPr="00612443">
              <w:rPr>
                <w:rFonts w:ascii="Palatino Linotype" w:hAnsi="Palatino Linotype"/>
                <w:sz w:val="22"/>
                <w:szCs w:val="22"/>
                <w:lang w:val="en-US"/>
              </w:rPr>
              <w:t xml:space="preserve">summarize the results shown in </w:t>
            </w:r>
            <w:r w:rsidR="00786816" w:rsidRPr="00612443">
              <w:rPr>
                <w:rFonts w:ascii="Palatino Linotype" w:hAnsi="Palatino Linotype"/>
                <w:sz w:val="22"/>
                <w:szCs w:val="22"/>
                <w:lang w:val="en-US"/>
              </w:rPr>
              <w:t>T</w:t>
            </w:r>
            <w:r w:rsidR="00F815ED" w:rsidRPr="00612443">
              <w:rPr>
                <w:rFonts w:ascii="Palatino Linotype" w:hAnsi="Palatino Linotype"/>
                <w:sz w:val="22"/>
                <w:szCs w:val="22"/>
                <w:lang w:val="en-US"/>
              </w:rPr>
              <w:t xml:space="preserve">ables </w:t>
            </w:r>
            <w:r w:rsidR="00444D56">
              <w:rPr>
                <w:rFonts w:ascii="Palatino Linotype" w:hAnsi="Palatino Linotype"/>
                <w:sz w:val="22"/>
                <w:szCs w:val="22"/>
                <w:lang w:val="en-US"/>
              </w:rPr>
              <w:t>3</w:t>
            </w:r>
            <w:r w:rsidR="00786816" w:rsidRPr="00612443">
              <w:rPr>
                <w:rFonts w:ascii="Palatino Linotype" w:hAnsi="Palatino Linotype"/>
                <w:sz w:val="22"/>
                <w:szCs w:val="22"/>
                <w:lang w:val="en-US"/>
              </w:rPr>
              <w:t>–</w:t>
            </w:r>
            <w:r w:rsidR="00444D56">
              <w:rPr>
                <w:rFonts w:ascii="Palatino Linotype" w:hAnsi="Palatino Linotype"/>
                <w:sz w:val="22"/>
                <w:szCs w:val="22"/>
                <w:lang w:val="en-US"/>
              </w:rPr>
              <w:t>5</w:t>
            </w:r>
            <w:r w:rsidR="00F815ED" w:rsidRPr="00612443">
              <w:rPr>
                <w:rFonts w:ascii="Palatino Linotype" w:hAnsi="Palatino Linotype"/>
                <w:sz w:val="22"/>
                <w:szCs w:val="22"/>
                <w:lang w:val="en-US"/>
              </w:rPr>
              <w:t xml:space="preserve"> but now considering joint tests rather than single tests for each expectation decile. In the first two columns</w:t>
            </w:r>
            <w:r w:rsidR="00786816" w:rsidRPr="00612443">
              <w:rPr>
                <w:rFonts w:ascii="Palatino Linotype" w:hAnsi="Palatino Linotype"/>
                <w:sz w:val="22"/>
                <w:szCs w:val="22"/>
                <w:lang w:val="en-US"/>
              </w:rPr>
              <w:t>,</w:t>
            </w:r>
            <w:r w:rsidR="00F815ED" w:rsidRPr="00612443">
              <w:rPr>
                <w:rFonts w:ascii="Palatino Linotype" w:hAnsi="Palatino Linotype"/>
                <w:sz w:val="22"/>
                <w:szCs w:val="22"/>
                <w:lang w:val="en-US"/>
              </w:rPr>
              <w:t xml:space="preserve"> we show results when we test the null hypothesis that all nine </w:t>
            </w:r>
            <m:oMath>
              <m:sSub>
                <m:sSubPr>
                  <m:ctrlPr>
                    <w:rPr>
                      <w:rFonts w:ascii="Cambria Math" w:hAnsi="Cambria Math"/>
                      <w:i/>
                      <w:sz w:val="22"/>
                      <w:szCs w:val="22"/>
                      <w:lang w:val="en-US"/>
                    </w:rPr>
                  </m:ctrlPr>
                </m:sSubPr>
                <m:e>
                  <m:r>
                    <w:rPr>
                      <w:rFonts w:ascii="Cambria Math" w:hAnsi="Cambria Math"/>
                      <w:sz w:val="22"/>
                      <w:szCs w:val="22"/>
                      <w:lang w:val="en-US"/>
                    </w:rPr>
                    <m:t>γ</m:t>
                  </m:r>
                </m:e>
                <m:sub>
                  <m:r>
                    <w:rPr>
                      <w:rFonts w:ascii="Cambria Math" w:hAnsi="Cambria Math"/>
                      <w:sz w:val="22"/>
                      <w:szCs w:val="22"/>
                      <w:lang w:val="en-US"/>
                    </w:rPr>
                    <m:t>ih</m:t>
                  </m:r>
                </m:sub>
              </m:sSub>
            </m:oMath>
            <w:r w:rsidR="00F815ED" w:rsidRPr="00612443">
              <w:rPr>
                <w:rFonts w:ascii="Palatino Linotype" w:hAnsi="Palatino Linotype"/>
                <w:sz w:val="22"/>
                <w:szCs w:val="22"/>
                <w:lang w:val="en-US"/>
              </w:rPr>
              <w:t xml:space="preserve"> coefficientes are zero. In the last two columns</w:t>
            </w:r>
            <w:r w:rsidR="00786816" w:rsidRPr="00612443">
              <w:rPr>
                <w:rFonts w:ascii="Palatino Linotype" w:hAnsi="Palatino Linotype"/>
                <w:sz w:val="22"/>
                <w:szCs w:val="22"/>
                <w:lang w:val="en-US"/>
              </w:rPr>
              <w:t>,</w:t>
            </w:r>
            <w:r w:rsidR="00F815ED" w:rsidRPr="00612443">
              <w:rPr>
                <w:rFonts w:ascii="Palatino Linotype" w:hAnsi="Palatino Linotype"/>
                <w:sz w:val="22"/>
                <w:szCs w:val="22"/>
                <w:lang w:val="en-US"/>
              </w:rPr>
              <w:t xml:space="preserve"> we focus on a null hypothesis in which only the five central parameters are jointly equal to zero. These are the parameters associated </w:t>
            </w:r>
            <w:r w:rsidR="00786816" w:rsidRPr="00612443">
              <w:rPr>
                <w:rFonts w:ascii="Palatino Linotype" w:hAnsi="Palatino Linotype"/>
                <w:sz w:val="22"/>
                <w:szCs w:val="22"/>
                <w:lang w:val="en-US"/>
              </w:rPr>
              <w:t xml:space="preserve">with </w:t>
            </w:r>
            <w:r w:rsidR="00F815ED" w:rsidRPr="00612443">
              <w:rPr>
                <w:rFonts w:ascii="Palatino Linotype" w:hAnsi="Palatino Linotype"/>
                <w:sz w:val="22"/>
                <w:szCs w:val="22"/>
                <w:lang w:val="en-US"/>
              </w:rPr>
              <w:t>the third, fourth, fifth, sixth and seventh deciles. It is interesting to note that</w:t>
            </w:r>
            <w:r w:rsidR="00786816" w:rsidRPr="00612443">
              <w:rPr>
                <w:rFonts w:ascii="Palatino Linotype" w:hAnsi="Palatino Linotype"/>
                <w:sz w:val="22"/>
                <w:szCs w:val="22"/>
                <w:lang w:val="en-US"/>
              </w:rPr>
              <w:t>:</w:t>
            </w:r>
            <w:r w:rsidR="001356CD" w:rsidRPr="00612443">
              <w:rPr>
                <w:rFonts w:ascii="Palatino Linotype" w:hAnsi="Palatino Linotype"/>
                <w:sz w:val="22"/>
                <w:szCs w:val="22"/>
                <w:lang w:val="en-US"/>
              </w:rPr>
              <w:t xml:space="preserve"> the joint tests cannot reject the null when considering expectations one month and one year ahead; and the null is strongly rejected, however, when considering the distribution of inflation expectations two years ahead.</w:t>
            </w:r>
            <w:r w:rsidR="001356CD" w:rsidRPr="00612443">
              <w:rPr>
                <w:rStyle w:val="Refdenotaalpie"/>
                <w:rFonts w:ascii="Palatino Linotype" w:hAnsi="Palatino Linotype"/>
                <w:sz w:val="22"/>
                <w:szCs w:val="22"/>
                <w:lang w:val="en-US"/>
              </w:rPr>
              <w:footnoteReference w:id="15"/>
            </w:r>
            <w:r w:rsidR="001356CD" w:rsidRPr="00612443">
              <w:rPr>
                <w:rFonts w:ascii="Palatino Linotype" w:hAnsi="Palatino Linotype"/>
                <w:sz w:val="22"/>
                <w:szCs w:val="22"/>
                <w:lang w:val="en-US"/>
              </w:rPr>
              <w:t xml:space="preserve"> </w:t>
            </w:r>
          </w:p>
          <w:p w:rsidR="002F3DB1" w:rsidRPr="00612443" w:rsidRDefault="002F3DB1" w:rsidP="001356CD">
            <w:pPr>
              <w:ind w:firstLine="300"/>
              <w:rPr>
                <w:rFonts w:ascii="Palatino Linotype" w:hAnsi="Palatino Linotype"/>
                <w:lang w:val="en-US"/>
              </w:rPr>
            </w:pPr>
          </w:p>
        </w:tc>
      </w:tr>
    </w:tbl>
    <w:p w:rsidR="00F815ED" w:rsidRPr="00612443" w:rsidRDefault="00F815ED" w:rsidP="008B51C4">
      <w:pPr>
        <w:jc w:val="center"/>
        <w:rPr>
          <w:rFonts w:ascii="Palatino Linotype" w:hAnsi="Palatino Linotype"/>
          <w:lang w:val="en-US"/>
        </w:rPr>
      </w:pPr>
    </w:p>
    <w:p w:rsidR="003518A2" w:rsidRPr="00612443" w:rsidRDefault="003518A2" w:rsidP="003518A2">
      <w:pPr>
        <w:jc w:val="center"/>
        <w:rPr>
          <w:rFonts w:ascii="Palatino Linotype" w:hAnsi="Palatino Linotype"/>
          <w:lang w:val="en-US"/>
        </w:rPr>
      </w:pPr>
      <w:r w:rsidRPr="00612443">
        <w:rPr>
          <w:rFonts w:ascii="Palatino Linotype" w:hAnsi="Palatino Linotype"/>
          <w:lang w:val="en-US"/>
        </w:rPr>
        <w:t xml:space="preserve">Table </w:t>
      </w:r>
      <w:r w:rsidR="00444D56">
        <w:rPr>
          <w:rFonts w:ascii="Palatino Linotype" w:hAnsi="Palatino Linotype"/>
          <w:lang w:val="en-US"/>
        </w:rPr>
        <w:t>6</w:t>
      </w:r>
      <w:r w:rsidRPr="00612443">
        <w:rPr>
          <w:rFonts w:ascii="Palatino Linotype" w:hAnsi="Palatino Linotype"/>
          <w:lang w:val="en-US"/>
        </w:rPr>
        <w:t xml:space="preserve">: Testing the </w:t>
      </w:r>
      <w:r w:rsidR="00786816" w:rsidRPr="00612443">
        <w:rPr>
          <w:rFonts w:ascii="Palatino Linotype" w:hAnsi="Palatino Linotype"/>
          <w:lang w:val="en-US"/>
        </w:rPr>
        <w:t>joint hypothesis of no intervention impact on the distribution of inflation expectations</w:t>
      </w:r>
    </w:p>
    <w:p w:rsidR="003518A2" w:rsidRPr="00612443" w:rsidRDefault="003518A2" w:rsidP="003518A2">
      <w:pPr>
        <w:ind w:firstLine="300"/>
        <w:jc w:val="center"/>
        <w:rPr>
          <w:rFonts w:ascii="Palatino Linotype" w:hAnsi="Palatino Linotype"/>
          <w:sz w:val="22"/>
          <w:szCs w:val="22"/>
          <w:lang w:val="en-US"/>
        </w:rPr>
      </w:pPr>
      <w:r w:rsidRPr="00612443">
        <w:rPr>
          <w:rFonts w:ascii="Palatino Linotype" w:hAnsi="Palatino Linotype"/>
          <w:szCs w:val="22"/>
          <w:lang w:val="en-US" w:eastAsia="en-US"/>
        </w:rPr>
        <w:drawing>
          <wp:inline distT="0" distB="0" distL="0" distR="0" wp14:anchorId="6CF20E9D" wp14:editId="1D279812">
            <wp:extent cx="5204957" cy="695846"/>
            <wp:effectExtent l="19050" t="0" r="0" b="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7"/>
                    <a:srcRect/>
                    <a:stretch>
                      <a:fillRect/>
                    </a:stretch>
                  </pic:blipFill>
                  <pic:spPr bwMode="auto">
                    <a:xfrm>
                      <a:off x="0" y="0"/>
                      <a:ext cx="5224860" cy="698507"/>
                    </a:xfrm>
                    <a:prstGeom prst="rect">
                      <a:avLst/>
                    </a:prstGeom>
                    <a:noFill/>
                    <a:ln w="9525">
                      <a:noFill/>
                      <a:miter lim="800000"/>
                      <a:headEnd/>
                      <a:tailEnd/>
                    </a:ln>
                  </pic:spPr>
                </pic:pic>
              </a:graphicData>
            </a:graphic>
          </wp:inline>
        </w:drawing>
      </w:r>
    </w:p>
    <w:p w:rsidR="00ED3F99" w:rsidRPr="00612443" w:rsidRDefault="00ED3F99">
      <w:pPr>
        <w:ind w:firstLine="300"/>
        <w:rPr>
          <w:rFonts w:ascii="Palatino Linotype" w:hAnsi="Palatino Linotype"/>
          <w:sz w:val="18"/>
          <w:szCs w:val="18"/>
          <w:lang w:val="en-US"/>
        </w:rPr>
      </w:pPr>
      <w:r w:rsidRPr="00612443">
        <w:rPr>
          <w:rFonts w:ascii="Palatino Linotype" w:hAnsi="Palatino Linotype"/>
          <w:sz w:val="18"/>
          <w:szCs w:val="18"/>
          <w:lang w:val="en-US"/>
        </w:rPr>
        <w:t>Notes</w:t>
      </w:r>
      <w:r w:rsidRPr="00612443">
        <w:rPr>
          <w:rFonts w:ascii="Palatino Linotype" w:hAnsi="Palatino Linotype"/>
          <w:sz w:val="22"/>
          <w:szCs w:val="22"/>
          <w:lang w:val="en-US"/>
        </w:rPr>
        <w:t>: I</w:t>
      </w:r>
      <w:r w:rsidRPr="00612443">
        <w:rPr>
          <w:rFonts w:ascii="Palatino Linotype" w:hAnsi="Palatino Linotype"/>
          <w:sz w:val="18"/>
          <w:szCs w:val="18"/>
          <w:lang w:val="en-US"/>
        </w:rPr>
        <w:t xml:space="preserve">n the first two columns we test the null hypothesis that all nine </w:t>
      </w:r>
      <m:oMath>
        <m:sSub>
          <m:sSubPr>
            <m:ctrlPr>
              <w:rPr>
                <w:rFonts w:ascii="Cambria Math" w:hAnsi="Cambria Math"/>
                <w:i/>
                <w:sz w:val="18"/>
                <w:szCs w:val="18"/>
                <w:lang w:val="en-US"/>
              </w:rPr>
            </m:ctrlPr>
          </m:sSubPr>
          <m:e>
            <m:r>
              <w:rPr>
                <w:rFonts w:ascii="Cambria Math" w:hAnsi="Cambria Math"/>
                <w:sz w:val="18"/>
                <w:szCs w:val="18"/>
                <w:lang w:val="en-US"/>
              </w:rPr>
              <m:t>γ</m:t>
            </m:r>
          </m:e>
          <m:sub>
            <m:r>
              <w:rPr>
                <w:rFonts w:ascii="Cambria Math" w:hAnsi="Cambria Math"/>
                <w:sz w:val="18"/>
                <w:szCs w:val="18"/>
                <w:lang w:val="en-US"/>
              </w:rPr>
              <m:t>ih</m:t>
            </m:r>
          </m:sub>
        </m:sSub>
        <m:r>
          <w:rPr>
            <w:rFonts w:ascii="Cambria Math" w:hAnsi="Cambria Math"/>
            <w:sz w:val="18"/>
            <w:szCs w:val="18"/>
            <w:lang w:val="en-US"/>
          </w:rPr>
          <m:t xml:space="preserve"> </m:t>
        </m:r>
      </m:oMath>
      <w:r w:rsidRPr="00612443">
        <w:rPr>
          <w:rFonts w:ascii="Palatino Linotype" w:hAnsi="Palatino Linotype"/>
          <w:sz w:val="18"/>
          <w:szCs w:val="18"/>
          <w:lang w:val="en-US"/>
        </w:rPr>
        <w:t>coefficients are zero.</w:t>
      </w:r>
    </w:p>
    <w:p w:rsidR="00ED3F99" w:rsidRPr="00612443" w:rsidRDefault="00ED3F99" w:rsidP="00ED3F99">
      <w:pPr>
        <w:ind w:left="870"/>
        <w:rPr>
          <w:rFonts w:ascii="Palatino Linotype" w:hAnsi="Palatino Linotype"/>
          <w:sz w:val="22"/>
          <w:szCs w:val="22"/>
          <w:lang w:val="en-US"/>
        </w:rPr>
      </w:pPr>
      <w:r w:rsidRPr="00612443">
        <w:rPr>
          <w:rFonts w:ascii="Palatino Linotype" w:hAnsi="Palatino Linotype"/>
          <w:sz w:val="22"/>
          <w:szCs w:val="22"/>
          <w:lang w:val="en-US"/>
        </w:rPr>
        <w:t>I</w:t>
      </w:r>
      <w:r w:rsidRPr="00612443">
        <w:rPr>
          <w:rFonts w:ascii="Palatino Linotype" w:hAnsi="Palatino Linotype"/>
          <w:sz w:val="18"/>
          <w:szCs w:val="18"/>
          <w:lang w:val="en-US"/>
        </w:rPr>
        <w:t xml:space="preserve">n the last two columns we test the null hypothesis that only the central coefficients </w:t>
      </w:r>
      <m:oMath>
        <m:sSub>
          <m:sSubPr>
            <m:ctrlPr>
              <w:rPr>
                <w:rFonts w:ascii="Cambria Math" w:hAnsi="Cambria Math"/>
                <w:i/>
                <w:sz w:val="18"/>
                <w:szCs w:val="18"/>
                <w:lang w:val="en-US"/>
              </w:rPr>
            </m:ctrlPr>
          </m:sSubPr>
          <m:e>
            <m:r>
              <w:rPr>
                <w:rFonts w:ascii="Cambria Math" w:hAnsi="Cambria Math"/>
                <w:sz w:val="18"/>
                <w:szCs w:val="18"/>
                <w:lang w:val="en-US"/>
              </w:rPr>
              <m:t>γ</m:t>
            </m:r>
          </m:e>
          <m:sub>
            <m:r>
              <w:rPr>
                <w:rFonts w:ascii="Cambria Math" w:hAnsi="Cambria Math"/>
                <w:sz w:val="18"/>
                <w:szCs w:val="18"/>
                <w:lang w:val="en-US"/>
              </w:rPr>
              <m:t>ih</m:t>
            </m:r>
          </m:sub>
        </m:sSub>
        <m:r>
          <w:rPr>
            <w:rFonts w:ascii="Cambria Math" w:hAnsi="Cambria Math"/>
            <w:sz w:val="18"/>
            <w:szCs w:val="18"/>
            <w:lang w:val="en-US"/>
          </w:rPr>
          <m:t xml:space="preserve"> </m:t>
        </m:r>
      </m:oMath>
      <w:r w:rsidRPr="00612443">
        <w:rPr>
          <w:rFonts w:ascii="Palatino Linotype" w:hAnsi="Palatino Linotype"/>
          <w:sz w:val="18"/>
          <w:szCs w:val="18"/>
          <w:lang w:val="en-US"/>
        </w:rPr>
        <w:t xml:space="preserve">are zero. In other words: </w:t>
      </w:r>
      <m:oMath>
        <m:sSub>
          <m:sSubPr>
            <m:ctrlPr>
              <w:rPr>
                <w:rFonts w:ascii="Cambria Math" w:hAnsi="Cambria Math"/>
                <w:i/>
                <w:sz w:val="18"/>
                <w:szCs w:val="18"/>
                <w:lang w:val="en-US"/>
              </w:rPr>
            </m:ctrlPr>
          </m:sSubPr>
          <m:e>
            <m:r>
              <w:rPr>
                <w:rFonts w:ascii="Cambria Math" w:hAnsi="Cambria Math"/>
                <w:sz w:val="18"/>
                <w:szCs w:val="18"/>
                <w:lang w:val="en-US"/>
              </w:rPr>
              <m:t>H</m:t>
            </m:r>
          </m:e>
          <m:sub>
            <m:r>
              <w:rPr>
                <w:rFonts w:ascii="Cambria Math" w:hAnsi="Cambria Math"/>
                <w:sz w:val="18"/>
                <w:szCs w:val="18"/>
                <w:lang w:val="en-US"/>
              </w:rPr>
              <m:t>0</m:t>
            </m:r>
          </m:sub>
        </m:sSub>
        <m:r>
          <w:rPr>
            <w:rFonts w:ascii="Cambria Math" w:hAnsi="Cambria Math"/>
            <w:sz w:val="18"/>
            <w:szCs w:val="18"/>
            <w:lang w:val="en-US"/>
          </w:rPr>
          <m:t xml:space="preserve">:   </m:t>
        </m:r>
        <m:sSub>
          <m:sSubPr>
            <m:ctrlPr>
              <w:rPr>
                <w:rFonts w:ascii="Cambria Math" w:hAnsi="Cambria Math"/>
                <w:i/>
                <w:sz w:val="18"/>
                <w:szCs w:val="18"/>
                <w:lang w:val="en-US"/>
              </w:rPr>
            </m:ctrlPr>
          </m:sSubPr>
          <m:e>
            <m:r>
              <w:rPr>
                <w:rFonts w:ascii="Cambria Math" w:hAnsi="Cambria Math"/>
                <w:sz w:val="18"/>
                <w:szCs w:val="18"/>
                <w:lang w:val="en-US"/>
              </w:rPr>
              <m:t>γ</m:t>
            </m:r>
          </m:e>
          <m:sub>
            <m:r>
              <w:rPr>
                <w:rFonts w:ascii="Cambria Math" w:hAnsi="Cambria Math"/>
                <w:sz w:val="18"/>
                <w:szCs w:val="18"/>
                <w:lang w:val="en-US"/>
              </w:rPr>
              <m:t>3</m:t>
            </m:r>
            <m:r>
              <w:rPr>
                <w:rFonts w:ascii="Cambria Math" w:hAnsi="Cambria Math"/>
                <w:sz w:val="18"/>
                <w:szCs w:val="18"/>
                <w:lang w:val="en-US"/>
              </w:rPr>
              <m:t>h</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γ</m:t>
            </m:r>
          </m:e>
          <m:sub>
            <m:r>
              <w:rPr>
                <w:rFonts w:ascii="Cambria Math" w:hAnsi="Cambria Math"/>
                <w:sz w:val="18"/>
                <w:szCs w:val="18"/>
                <w:lang w:val="en-US"/>
              </w:rPr>
              <m:t>4</m:t>
            </m:r>
            <m:r>
              <w:rPr>
                <w:rFonts w:ascii="Cambria Math" w:hAnsi="Cambria Math"/>
                <w:sz w:val="18"/>
                <w:szCs w:val="18"/>
                <w:lang w:val="en-US"/>
              </w:rPr>
              <m:t>h</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γ</m:t>
            </m:r>
          </m:e>
          <m:sub>
            <m:r>
              <w:rPr>
                <w:rFonts w:ascii="Cambria Math" w:hAnsi="Cambria Math"/>
                <w:sz w:val="18"/>
                <w:szCs w:val="18"/>
                <w:lang w:val="en-US"/>
              </w:rPr>
              <m:t>5</m:t>
            </m:r>
            <m:r>
              <w:rPr>
                <w:rFonts w:ascii="Cambria Math" w:hAnsi="Cambria Math"/>
                <w:sz w:val="18"/>
                <w:szCs w:val="18"/>
                <w:lang w:val="en-US"/>
              </w:rPr>
              <m:t>h</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γ</m:t>
            </m:r>
          </m:e>
          <m:sub>
            <m:r>
              <w:rPr>
                <w:rFonts w:ascii="Cambria Math" w:hAnsi="Cambria Math"/>
                <w:sz w:val="18"/>
                <w:szCs w:val="18"/>
                <w:lang w:val="en-US"/>
              </w:rPr>
              <m:t>6</m:t>
            </m:r>
            <m:r>
              <w:rPr>
                <w:rFonts w:ascii="Cambria Math" w:hAnsi="Cambria Math"/>
                <w:sz w:val="18"/>
                <w:szCs w:val="18"/>
                <w:lang w:val="en-US"/>
              </w:rPr>
              <m:t>h</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γ</m:t>
            </m:r>
          </m:e>
          <m:sub>
            <m:r>
              <w:rPr>
                <w:rFonts w:ascii="Cambria Math" w:hAnsi="Cambria Math"/>
                <w:sz w:val="18"/>
                <w:szCs w:val="18"/>
                <w:lang w:val="en-US"/>
              </w:rPr>
              <m:t>7</m:t>
            </m:r>
            <m:r>
              <w:rPr>
                <w:rFonts w:ascii="Cambria Math" w:hAnsi="Cambria Math"/>
                <w:sz w:val="18"/>
                <w:szCs w:val="18"/>
                <w:lang w:val="en-US"/>
              </w:rPr>
              <m:t>h</m:t>
            </m:r>
          </m:sub>
        </m:sSub>
        <m:r>
          <w:rPr>
            <w:rFonts w:ascii="Cambria Math" w:hAnsi="Cambria Math"/>
            <w:sz w:val="18"/>
            <w:szCs w:val="18"/>
            <w:lang w:val="en-US"/>
          </w:rPr>
          <m:t>=0</m:t>
        </m:r>
      </m:oMath>
      <w:r w:rsidRPr="00612443">
        <w:rPr>
          <w:rFonts w:ascii="Palatino Linotype" w:hAnsi="Palatino Linotype"/>
          <w:sz w:val="18"/>
          <w:szCs w:val="18"/>
          <w:lang w:val="en-US"/>
        </w:rPr>
        <w:t>.</w:t>
      </w:r>
      <w:r w:rsidRPr="00612443">
        <w:rPr>
          <w:rFonts w:ascii="Palatino Linotype" w:hAnsi="Palatino Linotype"/>
          <w:sz w:val="18"/>
          <w:szCs w:val="18"/>
          <w:lang w:val="en-US"/>
        </w:rPr>
        <w:tab/>
      </w:r>
    </w:p>
    <w:p w:rsidR="00ED3F99" w:rsidRPr="00612443" w:rsidRDefault="00ED3F99">
      <w:pPr>
        <w:ind w:firstLine="300"/>
        <w:rPr>
          <w:rFonts w:ascii="Palatino Linotype" w:hAnsi="Palatino Linotype"/>
          <w:sz w:val="22"/>
          <w:szCs w:val="22"/>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 xml:space="preserve">Tables </w:t>
      </w:r>
      <w:r w:rsidR="00444D56">
        <w:rPr>
          <w:rFonts w:ascii="Palatino Linotype" w:hAnsi="Palatino Linotype"/>
          <w:sz w:val="22"/>
          <w:szCs w:val="22"/>
          <w:lang w:val="en-US"/>
        </w:rPr>
        <w:t>3</w:t>
      </w:r>
      <w:r w:rsidR="00786816" w:rsidRPr="00612443">
        <w:rPr>
          <w:rFonts w:ascii="Palatino Linotype" w:hAnsi="Palatino Linotype"/>
          <w:sz w:val="22"/>
          <w:szCs w:val="22"/>
          <w:lang w:val="en-US"/>
        </w:rPr>
        <w:t>–</w:t>
      </w:r>
      <w:r w:rsidR="00444D56">
        <w:rPr>
          <w:rFonts w:ascii="Palatino Linotype" w:hAnsi="Palatino Linotype"/>
          <w:sz w:val="22"/>
          <w:szCs w:val="22"/>
          <w:lang w:val="en-US"/>
        </w:rPr>
        <w:t>6</w:t>
      </w:r>
      <w:r w:rsidRPr="00612443">
        <w:rPr>
          <w:rFonts w:ascii="Palatino Linotype" w:hAnsi="Palatino Linotype"/>
          <w:sz w:val="22"/>
          <w:szCs w:val="22"/>
          <w:lang w:val="en-US"/>
        </w:rPr>
        <w:t xml:space="preserve"> display the results when estimating (</w:t>
      </w:r>
      <w:r w:rsidR="00444D56">
        <w:rPr>
          <w:rFonts w:ascii="Palatino Linotype" w:hAnsi="Palatino Linotype"/>
          <w:lang w:val="en-US"/>
        </w:rPr>
        <w:t>3</w:t>
      </w:r>
      <w:r w:rsidRPr="00612443">
        <w:rPr>
          <w:rFonts w:ascii="Palatino Linotype" w:hAnsi="Palatino Linotype"/>
          <w:sz w:val="22"/>
          <w:szCs w:val="22"/>
          <w:lang w:val="en-US"/>
        </w:rPr>
        <w:t>) with</w:t>
      </w:r>
      <w:r w:rsidR="009E5AC3" w:rsidRPr="00612443">
        <w:rPr>
          <w:rFonts w:ascii="Palatino Linotype" w:hAnsi="Palatino Linotype"/>
          <w:sz w:val="22"/>
          <w:szCs w:val="22"/>
          <w:lang w:val="en-US"/>
        </w:rPr>
        <w:t>out making a distinction between the two intervention programs carried out in our sample period</w:t>
      </w:r>
      <w:r w:rsidRPr="00612443">
        <w:rPr>
          <w:rFonts w:ascii="Palatino Linotype" w:hAnsi="Palatino Linotype"/>
          <w:sz w:val="22"/>
          <w:szCs w:val="22"/>
          <w:lang w:val="en-US"/>
        </w:rPr>
        <w:t xml:space="preserve">. </w:t>
      </w:r>
      <w:r w:rsidR="009E5AC3" w:rsidRPr="00612443">
        <w:rPr>
          <w:rFonts w:ascii="Palatino Linotype" w:hAnsi="Palatino Linotype"/>
          <w:sz w:val="22"/>
          <w:szCs w:val="22"/>
          <w:lang w:val="en-US"/>
        </w:rPr>
        <w:t>Consequently</w:t>
      </w:r>
      <w:r w:rsidRPr="00612443">
        <w:rPr>
          <w:rFonts w:ascii="Palatino Linotype" w:hAnsi="Palatino Linotype"/>
          <w:sz w:val="22"/>
          <w:szCs w:val="22"/>
          <w:lang w:val="en-US"/>
        </w:rPr>
        <w:t xml:space="preserve">, results in </w:t>
      </w:r>
      <w:r w:rsidR="00444D56">
        <w:rPr>
          <w:rFonts w:ascii="Palatino Linotype" w:hAnsi="Palatino Linotype"/>
          <w:sz w:val="22"/>
          <w:szCs w:val="22"/>
          <w:lang w:val="en-US"/>
        </w:rPr>
        <w:t>these tables</w:t>
      </w:r>
      <w:r w:rsidRPr="00612443">
        <w:rPr>
          <w:rFonts w:ascii="Palatino Linotype" w:hAnsi="Palatino Linotype"/>
          <w:sz w:val="22"/>
          <w:szCs w:val="22"/>
          <w:lang w:val="en-US"/>
        </w:rPr>
        <w:t xml:space="preserve"> may be considered as </w:t>
      </w:r>
      <w:r w:rsidR="00786816" w:rsidRPr="00612443">
        <w:rPr>
          <w:rFonts w:ascii="Palatino Linotype" w:hAnsi="Palatino Linotype"/>
          <w:sz w:val="22"/>
          <w:szCs w:val="22"/>
          <w:lang w:val="en-US"/>
        </w:rPr>
        <w:t xml:space="preserve">the </w:t>
      </w:r>
      <w:r w:rsidRPr="00612443">
        <w:rPr>
          <w:rFonts w:ascii="Palatino Linotype" w:hAnsi="Palatino Linotype"/>
          <w:sz w:val="22"/>
          <w:szCs w:val="22"/>
          <w:lang w:val="en-US"/>
        </w:rPr>
        <w:t>average impact of the two intervention programs. We may as well try to explore the impact of each of the programs. To that end</w:t>
      </w:r>
      <w:r w:rsidR="00786816" w:rsidRPr="00612443">
        <w:rPr>
          <w:rFonts w:ascii="Palatino Linotype" w:hAnsi="Palatino Linotype"/>
          <w:sz w:val="22"/>
          <w:szCs w:val="22"/>
          <w:lang w:val="en-US"/>
        </w:rPr>
        <w:t>,</w:t>
      </w:r>
      <w:r w:rsidRPr="00612443">
        <w:rPr>
          <w:rFonts w:ascii="Palatino Linotype" w:hAnsi="Palatino Linotype"/>
          <w:sz w:val="22"/>
          <w:szCs w:val="22"/>
          <w:lang w:val="en-US"/>
        </w:rPr>
        <w:t xml:space="preserve"> we decompose </w:t>
      </w:r>
      <w:r w:rsidRPr="00612443">
        <w:rPr>
          <w:rFonts w:ascii="Palatino Linotype" w:hAnsi="Palatino Linotype"/>
          <w:sz w:val="22"/>
          <w:szCs w:val="22"/>
          <w:lang w:val="en-US"/>
        </w:rPr>
        <w:lastRenderedPageBreak/>
        <w:t>the intervention variable in two components, the first and second intervention, so we now consider the following model</w:t>
      </w:r>
    </w:p>
    <w:p w:rsidR="001356CD" w:rsidRPr="00612443" w:rsidRDefault="001356CD">
      <w:pPr>
        <w:ind w:firstLine="300"/>
        <w:rPr>
          <w:rFonts w:ascii="Palatino Linotype" w:hAnsi="Palatino Linotype"/>
          <w:sz w:val="22"/>
          <w:szCs w:val="22"/>
          <w:lang w:val="en-US"/>
        </w:rPr>
      </w:pPr>
    </w:p>
    <w:p w:rsidR="001356CD" w:rsidRPr="00612443" w:rsidRDefault="001356CD">
      <w:pPr>
        <w:ind w:firstLine="300"/>
        <w:rPr>
          <w:rFonts w:ascii="Palatino Linotype" w:hAnsi="Palatino Linotype"/>
          <w:lang w:val="en-US"/>
        </w:rPr>
      </w:pPr>
      <m:oMath>
        <m:r>
          <w:rPr>
            <w:rFonts w:ascii="Cambria Math" w:hAnsi="Cambria Math"/>
            <w:lang w:val="en-US"/>
          </w:rPr>
          <m:t>∆</m:t>
        </m:r>
        <m:d>
          <m:dPr>
            <m:begChr m:val="["/>
            <m:endChr m:val="]"/>
            <m:ctrlPr>
              <w:rPr>
                <w:rFonts w:ascii="Cambria Math" w:hAnsi="Cambria Math"/>
                <w:i/>
                <w:lang w:val="en-US"/>
              </w:rPr>
            </m:ctrlPr>
          </m:dPr>
          <m:e>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π</m:t>
                </m:r>
              </m:e>
              <m:sub>
                <m:r>
                  <w:rPr>
                    <w:rFonts w:ascii="Cambria Math" w:hAnsi="Cambria Math"/>
                    <w:lang w:val="en-US"/>
                  </w:rPr>
                  <m:t>it</m:t>
                </m:r>
              </m:sub>
              <m:sup>
                <m:r>
                  <w:rPr>
                    <w:rFonts w:ascii="Cambria Math" w:hAnsi="Cambria Math"/>
                    <w:lang w:val="en-US"/>
                  </w:rPr>
                  <m:t>e</m:t>
                </m:r>
              </m:sup>
            </m:sSubSup>
            <m:d>
              <m:dPr>
                <m:ctrlPr>
                  <w:rPr>
                    <w:rFonts w:ascii="Cambria Math" w:hAnsi="Cambria Math"/>
                    <w:i/>
                    <w:lang w:val="en-US"/>
                  </w:rPr>
                </m:ctrlPr>
              </m:dPr>
              <m:e>
                <m:r>
                  <w:rPr>
                    <w:rFonts w:ascii="Cambria Math" w:hAnsi="Cambria Math"/>
                    <w:lang w:val="en-US"/>
                  </w:rPr>
                  <m:t>h</m:t>
                </m:r>
              </m:e>
            </m:d>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ih</m:t>
            </m:r>
          </m:sub>
        </m:sSub>
        <m:d>
          <m:dPr>
            <m:begChr m:val="["/>
            <m:endChr m:val="]"/>
            <m:ctrlPr>
              <w:rPr>
                <w:rFonts w:ascii="Cambria Math" w:hAnsi="Cambria Math"/>
                <w:i/>
                <w:lang w:val="en-US"/>
              </w:rPr>
            </m:ctrlPr>
          </m:dPr>
          <m:e>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π</m:t>
                </m:r>
              </m:e>
              <m:sub>
                <m:r>
                  <w:rPr>
                    <w:rFonts w:ascii="Cambria Math" w:hAnsi="Cambria Math"/>
                    <w:lang w:val="en-US"/>
                  </w:rPr>
                  <m:t>it-1</m:t>
                </m:r>
              </m:sub>
              <m:sup>
                <m:r>
                  <w:rPr>
                    <w:rFonts w:ascii="Cambria Math" w:hAnsi="Cambria Math"/>
                    <w:lang w:val="en-US"/>
                  </w:rPr>
                  <m:t>e</m:t>
                </m:r>
              </m:sup>
            </m:sSubSup>
            <m:d>
              <m:dPr>
                <m:ctrlPr>
                  <w:rPr>
                    <w:rFonts w:ascii="Cambria Math" w:hAnsi="Cambria Math"/>
                    <w:i/>
                    <w:lang w:val="en-US"/>
                  </w:rPr>
                </m:ctrlPr>
              </m:dPr>
              <m:e>
                <m:r>
                  <w:rPr>
                    <w:rFonts w:ascii="Cambria Math" w:hAnsi="Cambria Math"/>
                    <w:lang w:val="en-US"/>
                  </w:rPr>
                  <m:t>h</m:t>
                </m:r>
              </m:e>
            </m:d>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m:t>
            </m:r>
            <m:sSub>
              <m:sSubPr>
                <m:ctrlPr>
                  <w:rPr>
                    <w:rFonts w:ascii="Cambria Math" w:hAnsi="Cambria Math"/>
                    <w:i/>
                    <w:lang w:val="en-US"/>
                  </w:rPr>
                </m:ctrlPr>
              </m:sSubPr>
              <m:e>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m:t>
                    </m:r>
                  </m:sup>
                </m:sSup>
              </m:e>
              <m:sub>
                <m:r>
                  <w:rPr>
                    <w:rFonts w:ascii="Cambria Math" w:hAnsi="Cambria Math"/>
                    <w:lang w:val="en-US"/>
                  </w:rPr>
                  <m:t>t-1</m:t>
                </m:r>
              </m:sub>
            </m:sSub>
            <m:r>
              <w:rPr>
                <w:rFonts w:ascii="Cambria Math" w:hAnsi="Cambria Math"/>
                <w:lang w:val="en-US"/>
              </w:rPr>
              <m:t>β</m:t>
            </m:r>
          </m:e>
          <m:sub>
            <m:r>
              <w:rPr>
                <w:rFonts w:ascii="Cambria Math" w:hAnsi="Cambria Math"/>
                <w:lang w:val="en-US"/>
              </w:rPr>
              <m:t>ih</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γ</m:t>
            </m:r>
          </m:e>
          <m:sub>
            <m:r>
              <w:rPr>
                <w:rFonts w:ascii="Cambria Math" w:hAnsi="Cambria Math"/>
                <w:lang w:val="en-US"/>
              </w:rPr>
              <m:t>ih</m:t>
            </m:r>
          </m:sub>
          <m:sup>
            <m:r>
              <w:rPr>
                <w:rFonts w:ascii="Cambria Math" w:hAnsi="Cambria Math"/>
                <w:lang w:val="en-US"/>
              </w:rPr>
              <m:t>(1)</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M</m:t>
            </m:r>
          </m:e>
          <m:sub>
            <m:r>
              <w:rPr>
                <w:rFonts w:ascii="Cambria Math" w:hAnsi="Cambria Math"/>
                <w:lang w:val="en-US"/>
              </w:rPr>
              <m:t>t-1</m:t>
            </m:r>
          </m:sub>
          <m:sup>
            <m:r>
              <w:rPr>
                <w:rFonts w:ascii="Cambria Math" w:hAnsi="Cambria Math"/>
                <w:lang w:val="en-US"/>
              </w:rPr>
              <m:t>(1)</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γ</m:t>
            </m:r>
          </m:e>
          <m:sub>
            <m:r>
              <w:rPr>
                <w:rFonts w:ascii="Cambria Math" w:hAnsi="Cambria Math"/>
                <w:lang w:val="en-US"/>
              </w:rPr>
              <m:t>ih</m:t>
            </m:r>
          </m:sub>
          <m:sup>
            <m:r>
              <w:rPr>
                <w:rFonts w:ascii="Cambria Math" w:hAnsi="Cambria Math"/>
                <w:lang w:val="en-US"/>
              </w:rPr>
              <m:t>(2)</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M</m:t>
            </m:r>
          </m:e>
          <m:sub>
            <m:r>
              <w:rPr>
                <w:rFonts w:ascii="Cambria Math" w:hAnsi="Cambria Math"/>
                <w:lang w:val="en-US"/>
              </w:rPr>
              <m:t>t-1</m:t>
            </m:r>
          </m:sub>
          <m:sup>
            <m:r>
              <w:rPr>
                <w:rFonts w:ascii="Cambria Math" w:hAnsi="Cambria Math"/>
                <w:lang w:val="en-US"/>
              </w:rPr>
              <m:t>(2)</m:t>
            </m:r>
          </m:sup>
        </m:sSubSup>
        <m:sSub>
          <m:sSubPr>
            <m:ctrlPr>
              <w:rPr>
                <w:rFonts w:ascii="Cambria Math" w:hAnsi="Cambria Math"/>
                <w:i/>
                <w:lang w:val="en-US"/>
              </w:rPr>
            </m:ctrlPr>
          </m:sSubPr>
          <m:e>
            <m:r>
              <w:rPr>
                <w:rFonts w:ascii="Cambria Math" w:hAnsi="Cambria Math"/>
                <w:lang w:val="en-US"/>
              </w:rPr>
              <m:t>+∅</m:t>
            </m:r>
          </m:e>
          <m:sub>
            <m:r>
              <w:rPr>
                <w:rFonts w:ascii="Cambria Math" w:hAnsi="Cambria Math"/>
                <w:lang w:val="en-US"/>
              </w:rPr>
              <m:t>ih</m:t>
            </m:r>
          </m:sub>
        </m:sSub>
        <m:d>
          <m:dPr>
            <m:ctrlPr>
              <w:rPr>
                <w:rFonts w:ascii="Cambria Math" w:hAnsi="Cambria Math"/>
                <w:i/>
                <w:lang w:val="en-US"/>
              </w:rPr>
            </m:ctrlPr>
          </m:dPr>
          <m:e>
            <m:r>
              <w:rPr>
                <w:rFonts w:ascii="Cambria Math" w:hAnsi="Cambria Math"/>
                <w:lang w:val="en-US"/>
              </w:rPr>
              <m:t>B</m:t>
            </m:r>
          </m:e>
        </m:d>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iht</m:t>
            </m:r>
          </m:sub>
        </m:sSub>
        <m:r>
          <w:rPr>
            <w:rFonts w:ascii="Cambria Math" w:hAnsi="Cambria Math"/>
            <w:lang w:val="en-US"/>
          </w:rPr>
          <m:t>, i=1,…,9       (</m:t>
        </m:r>
        <m:r>
          <w:rPr>
            <w:rFonts w:ascii="Cambria Math" w:hAnsi="Cambria Math"/>
            <w:lang w:val="en-US"/>
          </w:rPr>
          <m:t>5</m:t>
        </m:r>
        <m:r>
          <w:rPr>
            <w:rFonts w:ascii="Cambria Math" w:hAnsi="Cambria Math"/>
            <w:lang w:val="en-US"/>
          </w:rPr>
          <m:t>)</m:t>
        </m:r>
      </m:oMath>
      <w:r w:rsidRPr="00612443">
        <w:rPr>
          <w:rFonts w:ascii="Palatino Linotype" w:hAnsi="Palatino Linotype"/>
          <w:lang w:val="en-US"/>
        </w:rPr>
        <w:t xml:space="preserve">     </w:t>
      </w:r>
    </w:p>
    <w:p w:rsidR="0058159B" w:rsidRPr="00612443" w:rsidRDefault="0058159B">
      <w:pPr>
        <w:ind w:firstLine="300"/>
        <w:rPr>
          <w:rFonts w:ascii="Palatino Linotype" w:hAnsi="Palatino Linotype"/>
          <w:sz w:val="22"/>
          <w:szCs w:val="22"/>
          <w:lang w:val="en-US"/>
        </w:rPr>
      </w:pPr>
    </w:p>
    <w:p w:rsidR="00D67271" w:rsidRPr="00612443" w:rsidRDefault="000D18E6" w:rsidP="00231552">
      <w:pPr>
        <w:pStyle w:val="MTDisplayEquation"/>
        <w:jc w:val="both"/>
        <w:rPr>
          <w:rFonts w:ascii="Palatino Linotype" w:hAnsi="Palatino Linotype"/>
        </w:rPr>
      </w:pPr>
      <w:r w:rsidRPr="00612443">
        <w:rPr>
          <w:rFonts w:ascii="Palatino Linotype" w:hAnsi="Palatino Linotype"/>
        </w:rPr>
        <w:t>which is exactly the same as (</w:t>
      </w:r>
      <w:r w:rsidR="00444D56">
        <w:rPr>
          <w:rFonts w:ascii="Palatino Linotype" w:hAnsi="Palatino Linotype"/>
        </w:rPr>
        <w:t>3</w:t>
      </w:r>
      <w:r w:rsidRPr="00612443">
        <w:rPr>
          <w:rFonts w:ascii="Palatino Linotype" w:hAnsi="Palatino Linotype"/>
        </w:rPr>
        <w:t>) with the only difference that now we have two intervention variables:</w:t>
      </w:r>
    </w:p>
    <w:p w:rsidR="0058159B" w:rsidRPr="00612443" w:rsidRDefault="0058159B" w:rsidP="00231552">
      <w:pPr>
        <w:rPr>
          <w:rFonts w:ascii="Palatino Linotype" w:hAnsi="Palatino Linotype"/>
          <w:sz w:val="22"/>
          <w:szCs w:val="22"/>
          <w:lang w:val="en-US"/>
        </w:rPr>
      </w:pPr>
    </w:p>
    <w:tbl>
      <w:tblPr>
        <w:tblStyle w:val="Tablaconcuadrcula"/>
        <w:tblW w:w="7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5661"/>
        <w:gridCol w:w="1418"/>
      </w:tblGrid>
      <w:tr w:rsidR="008458E8" w:rsidRPr="00612443" w:rsidTr="0049257F">
        <w:trPr>
          <w:jc w:val="center"/>
        </w:trPr>
        <w:tc>
          <w:tcPr>
            <w:tcW w:w="826" w:type="dxa"/>
            <w:vAlign w:val="center"/>
          </w:tcPr>
          <w:p w:rsidR="008458E8" w:rsidRPr="00612443" w:rsidRDefault="008458E8" w:rsidP="0049257F">
            <w:pPr>
              <w:jc w:val="right"/>
              <w:rPr>
                <w:rFonts w:ascii="Palatino Linotype" w:hAnsi="Palatino Linotype"/>
                <w:sz w:val="22"/>
                <w:szCs w:val="22"/>
                <w:lang w:val="en-US"/>
              </w:rPr>
            </w:pPr>
            <w:r w:rsidRPr="00612443">
              <w:rPr>
                <w:rFonts w:ascii="Palatino Linotype" w:hAnsi="Palatino Linotype"/>
                <w:position w:val="-12"/>
                <w:sz w:val="22"/>
                <w:szCs w:val="22"/>
                <w:lang w:val="en-US"/>
              </w:rPr>
              <w:object w:dxaOrig="480" w:dyaOrig="380">
                <v:shape id="_x0000_i1039" type="#_x0000_t75" style="width:24pt;height:18.75pt" o:ole="">
                  <v:imagedata r:id="rId48" o:title=""/>
                </v:shape>
                <o:OLEObject Type="Embed" ProgID="Equation.DSMT4" ShapeID="_x0000_i1039" DrawAspect="Content" ObjectID="_1552495475" r:id="rId49"/>
              </w:object>
            </w:r>
            <w:r w:rsidRPr="00612443">
              <w:rPr>
                <w:rFonts w:ascii="Palatino Linotype" w:hAnsi="Palatino Linotype"/>
                <w:sz w:val="22"/>
                <w:szCs w:val="22"/>
                <w:lang w:val="en-US"/>
              </w:rPr>
              <w:t>:</w:t>
            </w:r>
          </w:p>
        </w:tc>
        <w:tc>
          <w:tcPr>
            <w:tcW w:w="5661" w:type="dxa"/>
            <w:vAlign w:val="center"/>
          </w:tcPr>
          <w:p w:rsidR="008458E8" w:rsidRPr="00612443" w:rsidRDefault="008458E8" w:rsidP="00786816">
            <w:pPr>
              <w:jc w:val="left"/>
              <w:rPr>
                <w:rFonts w:ascii="Palatino Linotype" w:hAnsi="Palatino Linotype"/>
                <w:sz w:val="22"/>
                <w:szCs w:val="22"/>
                <w:lang w:val="en-US"/>
              </w:rPr>
            </w:pPr>
            <w:r w:rsidRPr="00612443">
              <w:rPr>
                <w:rFonts w:ascii="Palatino Linotype" w:hAnsi="Palatino Linotype"/>
                <w:sz w:val="22"/>
                <w:szCs w:val="22"/>
                <w:lang w:val="en-US"/>
              </w:rPr>
              <w:t xml:space="preserve">Monthly </w:t>
            </w:r>
            <w:r w:rsidR="00786816" w:rsidRPr="00612443">
              <w:rPr>
                <w:rFonts w:ascii="Palatino Linotype" w:hAnsi="Palatino Linotype"/>
                <w:sz w:val="22"/>
                <w:szCs w:val="22"/>
                <w:lang w:val="en-US"/>
              </w:rPr>
              <w:t>i</w:t>
            </w:r>
            <w:r w:rsidRPr="00612443">
              <w:rPr>
                <w:rFonts w:ascii="Palatino Linotype" w:hAnsi="Palatino Linotype"/>
                <w:sz w:val="22"/>
                <w:szCs w:val="22"/>
                <w:lang w:val="en-US"/>
              </w:rPr>
              <w:t>nterventions during 2008 in billions of US dollars</w:t>
            </w:r>
          </w:p>
        </w:tc>
        <w:tc>
          <w:tcPr>
            <w:tcW w:w="1418" w:type="dxa"/>
            <w:vAlign w:val="center"/>
          </w:tcPr>
          <w:p w:rsidR="008458E8" w:rsidRPr="00612443" w:rsidRDefault="00231552" w:rsidP="00444D56">
            <w:pPr>
              <w:jc w:val="right"/>
              <w:rPr>
                <w:rFonts w:ascii="Palatino Linotype" w:hAnsi="Palatino Linotype"/>
                <w:sz w:val="22"/>
                <w:szCs w:val="22"/>
                <w:lang w:val="en-US"/>
              </w:rPr>
            </w:pPr>
            <w:r w:rsidRPr="00612443">
              <w:rPr>
                <w:rFonts w:ascii="Palatino Linotype" w:hAnsi="Palatino Linotype"/>
                <w:sz w:val="22"/>
                <w:szCs w:val="22"/>
                <w:lang w:val="en-US"/>
              </w:rPr>
              <w:t>(</w:t>
            </w:r>
            <w:r w:rsidR="00444D56">
              <w:rPr>
                <w:rFonts w:ascii="Palatino Linotype" w:hAnsi="Palatino Linotype"/>
                <w:sz w:val="22"/>
                <w:szCs w:val="22"/>
                <w:lang w:val="en-US"/>
              </w:rPr>
              <w:t>6</w:t>
            </w:r>
            <w:r w:rsidR="008458E8" w:rsidRPr="00612443">
              <w:rPr>
                <w:rFonts w:ascii="Palatino Linotype" w:hAnsi="Palatino Linotype"/>
                <w:sz w:val="22"/>
                <w:szCs w:val="22"/>
                <w:lang w:val="en-US"/>
              </w:rPr>
              <w:t>)</w:t>
            </w:r>
          </w:p>
        </w:tc>
      </w:tr>
      <w:tr w:rsidR="008458E8" w:rsidRPr="00612443" w:rsidTr="0049257F">
        <w:trPr>
          <w:jc w:val="center"/>
        </w:trPr>
        <w:tc>
          <w:tcPr>
            <w:tcW w:w="826" w:type="dxa"/>
            <w:vAlign w:val="center"/>
          </w:tcPr>
          <w:p w:rsidR="008458E8" w:rsidRPr="00612443" w:rsidRDefault="008458E8" w:rsidP="0049257F">
            <w:pPr>
              <w:jc w:val="right"/>
              <w:rPr>
                <w:rFonts w:ascii="Palatino Linotype" w:hAnsi="Palatino Linotype"/>
                <w:sz w:val="22"/>
                <w:szCs w:val="22"/>
                <w:lang w:val="en-US"/>
              </w:rPr>
            </w:pPr>
            <w:r w:rsidRPr="00612443">
              <w:rPr>
                <w:rFonts w:ascii="Palatino Linotype" w:hAnsi="Palatino Linotype"/>
                <w:position w:val="-12"/>
                <w:sz w:val="22"/>
                <w:szCs w:val="22"/>
                <w:lang w:val="en-US"/>
              </w:rPr>
              <w:object w:dxaOrig="499" w:dyaOrig="380">
                <v:shape id="_x0000_i1040" type="#_x0000_t75" style="width:25.5pt;height:18.75pt" o:ole="">
                  <v:imagedata r:id="rId50" o:title=""/>
                </v:shape>
                <o:OLEObject Type="Embed" ProgID="Equation.DSMT4" ShapeID="_x0000_i1040" DrawAspect="Content" ObjectID="_1552495476" r:id="rId51"/>
              </w:object>
            </w:r>
            <w:r w:rsidRPr="00612443">
              <w:rPr>
                <w:rFonts w:ascii="Palatino Linotype" w:hAnsi="Palatino Linotype"/>
                <w:sz w:val="22"/>
                <w:szCs w:val="22"/>
                <w:lang w:val="en-US"/>
              </w:rPr>
              <w:t>:</w:t>
            </w:r>
          </w:p>
        </w:tc>
        <w:tc>
          <w:tcPr>
            <w:tcW w:w="5661" w:type="dxa"/>
            <w:vAlign w:val="center"/>
          </w:tcPr>
          <w:p w:rsidR="008458E8" w:rsidRPr="00612443" w:rsidRDefault="008458E8" w:rsidP="00786816">
            <w:pPr>
              <w:jc w:val="left"/>
              <w:rPr>
                <w:rFonts w:ascii="Palatino Linotype" w:hAnsi="Palatino Linotype"/>
                <w:sz w:val="22"/>
                <w:szCs w:val="22"/>
                <w:lang w:val="en-US"/>
              </w:rPr>
            </w:pPr>
            <w:r w:rsidRPr="00612443">
              <w:rPr>
                <w:rFonts w:ascii="Palatino Linotype" w:hAnsi="Palatino Linotype"/>
                <w:sz w:val="22"/>
                <w:szCs w:val="22"/>
                <w:lang w:val="en-US"/>
              </w:rPr>
              <w:t xml:space="preserve">Monthly </w:t>
            </w:r>
            <w:r w:rsidR="00786816" w:rsidRPr="00612443">
              <w:rPr>
                <w:rFonts w:ascii="Palatino Linotype" w:hAnsi="Palatino Linotype"/>
                <w:sz w:val="22"/>
                <w:szCs w:val="22"/>
                <w:lang w:val="en-US"/>
              </w:rPr>
              <w:t>i</w:t>
            </w:r>
            <w:r w:rsidRPr="00612443">
              <w:rPr>
                <w:rFonts w:ascii="Palatino Linotype" w:hAnsi="Palatino Linotype"/>
                <w:sz w:val="22"/>
                <w:szCs w:val="22"/>
                <w:lang w:val="en-US"/>
              </w:rPr>
              <w:t>nterventions during 2011 in billions of US dollars</w:t>
            </w:r>
          </w:p>
        </w:tc>
        <w:tc>
          <w:tcPr>
            <w:tcW w:w="1418" w:type="dxa"/>
            <w:vAlign w:val="center"/>
          </w:tcPr>
          <w:p w:rsidR="008458E8" w:rsidRPr="00612443" w:rsidRDefault="00231552" w:rsidP="00444D56">
            <w:pPr>
              <w:jc w:val="right"/>
              <w:rPr>
                <w:rFonts w:ascii="Palatino Linotype" w:hAnsi="Palatino Linotype"/>
                <w:sz w:val="22"/>
                <w:szCs w:val="22"/>
                <w:lang w:val="en-US"/>
              </w:rPr>
            </w:pPr>
            <w:r w:rsidRPr="00612443">
              <w:rPr>
                <w:rFonts w:ascii="Palatino Linotype" w:hAnsi="Palatino Linotype"/>
                <w:sz w:val="22"/>
                <w:szCs w:val="22"/>
                <w:lang w:val="en-US"/>
              </w:rPr>
              <w:t>(</w:t>
            </w:r>
            <w:r w:rsidR="00444D56">
              <w:rPr>
                <w:rFonts w:ascii="Palatino Linotype" w:hAnsi="Palatino Linotype"/>
                <w:sz w:val="22"/>
                <w:szCs w:val="22"/>
                <w:lang w:val="en-US"/>
              </w:rPr>
              <w:t>7</w:t>
            </w:r>
            <w:r w:rsidR="008458E8" w:rsidRPr="00612443">
              <w:rPr>
                <w:rFonts w:ascii="Palatino Linotype" w:hAnsi="Palatino Linotype"/>
                <w:sz w:val="22"/>
                <w:szCs w:val="22"/>
                <w:lang w:val="en-US"/>
              </w:rPr>
              <w:t>)</w:t>
            </w:r>
          </w:p>
        </w:tc>
      </w:tr>
    </w:tbl>
    <w:p w:rsidR="008458E8" w:rsidRPr="00612443" w:rsidRDefault="008458E8">
      <w:pPr>
        <w:rPr>
          <w:rFonts w:ascii="Palatino Linotype" w:hAnsi="Palatino Linotype"/>
          <w:sz w:val="22"/>
          <w:szCs w:val="22"/>
          <w:lang w:val="en-US"/>
        </w:rPr>
      </w:pPr>
    </w:p>
    <w:p w:rsidR="008458E8" w:rsidRPr="00612443" w:rsidRDefault="008458E8">
      <w:pPr>
        <w:rPr>
          <w:rFonts w:ascii="Palatino Linotype" w:hAnsi="Palatino Linotype"/>
          <w:sz w:val="22"/>
          <w:szCs w:val="22"/>
          <w:lang w:val="en-US"/>
        </w:rPr>
      </w:pPr>
    </w:p>
    <w:p w:rsidR="00D67271" w:rsidRPr="00612443" w:rsidRDefault="000D18E6">
      <w:pPr>
        <w:rPr>
          <w:rFonts w:ascii="Palatino Linotype" w:hAnsi="Palatino Linotype"/>
          <w:sz w:val="22"/>
          <w:szCs w:val="22"/>
          <w:lang w:val="en-US"/>
        </w:rPr>
      </w:pPr>
      <w:r w:rsidRPr="00612443">
        <w:rPr>
          <w:rFonts w:ascii="Palatino Linotype" w:hAnsi="Palatino Linotype"/>
          <w:sz w:val="22"/>
          <w:szCs w:val="22"/>
          <w:lang w:val="en-US"/>
        </w:rPr>
        <w:t xml:space="preserve">The two corresponding parameters </w:t>
      </w:r>
    </w:p>
    <w:p w:rsidR="0049257F" w:rsidRPr="00612443" w:rsidRDefault="0049257F">
      <w:pPr>
        <w:rPr>
          <w:rFonts w:ascii="Palatino Linotype" w:hAnsi="Palatino Linotype"/>
          <w:sz w:val="22"/>
          <w:szCs w:val="22"/>
          <w:lang w:val="en-US"/>
        </w:rPr>
      </w:pPr>
    </w:p>
    <w:p w:rsidR="0049257F" w:rsidRPr="00612443" w:rsidRDefault="0049257F" w:rsidP="0049257F">
      <w:pPr>
        <w:jc w:val="center"/>
        <w:rPr>
          <w:rFonts w:ascii="Palatino Linotype" w:hAnsi="Palatino Linotype"/>
          <w:sz w:val="22"/>
          <w:szCs w:val="22"/>
          <w:lang w:val="en-US"/>
        </w:rPr>
      </w:pPr>
      <w:r w:rsidRPr="00612443">
        <w:rPr>
          <w:rFonts w:ascii="Palatino Linotype" w:hAnsi="Palatino Linotype"/>
          <w:position w:val="-12"/>
          <w:sz w:val="22"/>
          <w:szCs w:val="22"/>
          <w:lang w:val="en-US"/>
        </w:rPr>
        <w:object w:dxaOrig="380" w:dyaOrig="380">
          <v:shape id="_x0000_i1041" type="#_x0000_t75" style="width:18.75pt;height:18.75pt" o:ole="">
            <v:imagedata r:id="rId52" o:title=""/>
          </v:shape>
          <o:OLEObject Type="Embed" ProgID="Equation.DSMT4" ShapeID="_x0000_i1041" DrawAspect="Content" ObjectID="_1552495477" r:id="rId53"/>
        </w:object>
      </w:r>
      <w:r w:rsidRPr="00612443">
        <w:rPr>
          <w:rFonts w:ascii="Palatino Linotype" w:hAnsi="Palatino Linotype"/>
          <w:sz w:val="22"/>
          <w:szCs w:val="22"/>
          <w:lang w:val="en-US"/>
        </w:rPr>
        <w:t xml:space="preserve"> &amp; </w:t>
      </w:r>
      <w:r w:rsidRPr="00612443">
        <w:rPr>
          <w:rFonts w:ascii="Palatino Linotype" w:hAnsi="Palatino Linotype"/>
          <w:position w:val="-12"/>
          <w:sz w:val="22"/>
          <w:szCs w:val="22"/>
          <w:lang w:val="en-US"/>
        </w:rPr>
        <w:object w:dxaOrig="400" w:dyaOrig="380">
          <v:shape id="_x0000_i1042" type="#_x0000_t75" style="width:20.25pt;height:18.75pt" o:ole="">
            <v:imagedata r:id="rId54" o:title=""/>
          </v:shape>
          <o:OLEObject Type="Embed" ProgID="Equation.DSMT4" ShapeID="_x0000_i1042" DrawAspect="Content" ObjectID="_1552495478" r:id="rId55"/>
        </w:object>
      </w:r>
    </w:p>
    <w:p w:rsidR="0058159B" w:rsidRPr="00612443" w:rsidRDefault="0058159B">
      <w:pPr>
        <w:rPr>
          <w:rFonts w:ascii="Palatino Linotype" w:hAnsi="Palatino Linotype"/>
          <w:sz w:val="22"/>
          <w:szCs w:val="22"/>
          <w:lang w:val="en-US"/>
        </w:rPr>
      </w:pPr>
    </w:p>
    <w:p w:rsidR="00D67271" w:rsidRPr="00612443" w:rsidRDefault="000D18E6">
      <w:pPr>
        <w:rPr>
          <w:rFonts w:ascii="Palatino Linotype" w:hAnsi="Palatino Linotype"/>
          <w:sz w:val="22"/>
          <w:szCs w:val="22"/>
          <w:lang w:val="en-US"/>
        </w:rPr>
      </w:pPr>
      <w:r w:rsidRPr="00612443">
        <w:rPr>
          <w:rFonts w:ascii="Palatino Linotype" w:hAnsi="Palatino Linotype"/>
          <w:sz w:val="22"/>
          <w:szCs w:val="22"/>
          <w:lang w:val="en-US"/>
        </w:rPr>
        <w:t xml:space="preserve">will help us decompose the impact of each intervention on the distribution of inflation expectations. Tables </w:t>
      </w:r>
      <w:r w:rsidR="00444D56">
        <w:rPr>
          <w:rFonts w:ascii="Palatino Linotype" w:hAnsi="Palatino Linotype"/>
          <w:sz w:val="22"/>
          <w:szCs w:val="22"/>
          <w:lang w:val="en-US"/>
        </w:rPr>
        <w:t>7</w:t>
      </w:r>
      <w:r w:rsidR="00786816" w:rsidRPr="00612443">
        <w:rPr>
          <w:rFonts w:ascii="Palatino Linotype" w:hAnsi="Palatino Linotype"/>
          <w:sz w:val="22"/>
          <w:szCs w:val="22"/>
          <w:lang w:val="en-US"/>
        </w:rPr>
        <w:t>–</w:t>
      </w:r>
      <w:r w:rsidR="00444D56">
        <w:rPr>
          <w:rFonts w:ascii="Palatino Linotype" w:hAnsi="Palatino Linotype"/>
          <w:sz w:val="22"/>
          <w:szCs w:val="22"/>
          <w:lang w:val="en-US"/>
        </w:rPr>
        <w:t>9</w:t>
      </w:r>
      <w:r w:rsidRPr="00612443">
        <w:rPr>
          <w:rFonts w:ascii="Palatino Linotype" w:hAnsi="Palatino Linotype"/>
          <w:sz w:val="22"/>
          <w:szCs w:val="22"/>
          <w:lang w:val="en-US"/>
        </w:rPr>
        <w:t xml:space="preserve"> next show the results of </w:t>
      </w:r>
      <w:r w:rsidR="0049257F" w:rsidRPr="00612443">
        <w:rPr>
          <w:rFonts w:ascii="Palatino Linotype" w:hAnsi="Palatino Linotype"/>
          <w:position w:val="-12"/>
          <w:sz w:val="22"/>
          <w:szCs w:val="22"/>
          <w:lang w:val="en-US"/>
        </w:rPr>
        <w:object w:dxaOrig="380" w:dyaOrig="380">
          <v:shape id="_x0000_i1043" type="#_x0000_t75" style="width:18.75pt;height:18.75pt" o:ole="">
            <v:imagedata r:id="rId56" o:title=""/>
          </v:shape>
          <o:OLEObject Type="Embed" ProgID="Equation.DSMT4" ShapeID="_x0000_i1043" DrawAspect="Content" ObjectID="_1552495479" r:id="rId57"/>
        </w:object>
      </w:r>
      <w:r w:rsidRPr="00612443">
        <w:rPr>
          <w:rFonts w:ascii="Palatino Linotype" w:hAnsi="Palatino Linotype"/>
          <w:sz w:val="22"/>
          <w:szCs w:val="22"/>
          <w:lang w:val="en-US"/>
        </w:rPr>
        <w:t xml:space="preserve"> in the estimation of the system in (</w:t>
      </w:r>
      <w:r w:rsidR="00444D56">
        <w:rPr>
          <w:rFonts w:ascii="Palatino Linotype" w:hAnsi="Palatino Linotype"/>
          <w:lang w:val="en-US"/>
        </w:rPr>
        <w:t>5</w:t>
      </w:r>
      <w:r w:rsidRPr="00612443">
        <w:rPr>
          <w:rFonts w:ascii="Palatino Linotype" w:hAnsi="Palatino Linotype"/>
          <w:sz w:val="22"/>
          <w:szCs w:val="22"/>
          <w:lang w:val="en-US"/>
        </w:rPr>
        <w:t>).</w:t>
      </w:r>
    </w:p>
    <w:p w:rsidR="00BD59ED" w:rsidRPr="00612443" w:rsidRDefault="00BD59ED">
      <w:pPr>
        <w:rPr>
          <w:rFonts w:ascii="Palatino Linotype" w:hAnsi="Palatino Linotype"/>
          <w:sz w:val="22"/>
          <w:szCs w:val="22"/>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8B51C4" w:rsidRPr="00612443" w:rsidTr="00BD59ED">
        <w:tc>
          <w:tcPr>
            <w:tcW w:w="8978" w:type="dxa"/>
            <w:vAlign w:val="center"/>
          </w:tcPr>
          <w:p w:rsidR="008B51C4" w:rsidRPr="00612443" w:rsidRDefault="008B51C4" w:rsidP="008B51C4">
            <w:pPr>
              <w:jc w:val="center"/>
              <w:rPr>
                <w:rFonts w:ascii="Palatino Linotype" w:hAnsi="Palatino Linotype"/>
                <w:szCs w:val="22"/>
                <w:lang w:val="en-US"/>
              </w:rPr>
            </w:pPr>
            <w:r w:rsidRPr="00612443">
              <w:rPr>
                <w:rFonts w:ascii="Palatino Linotype" w:hAnsi="Palatino Linotype"/>
                <w:szCs w:val="22"/>
                <w:lang w:val="en-US"/>
              </w:rPr>
              <w:t xml:space="preserve">Table </w:t>
            </w:r>
            <w:r w:rsidR="00444D56">
              <w:rPr>
                <w:rFonts w:ascii="Palatino Linotype" w:hAnsi="Palatino Linotype"/>
                <w:szCs w:val="22"/>
                <w:lang w:val="en-US"/>
              </w:rPr>
              <w:t>7</w:t>
            </w:r>
            <w:r w:rsidRPr="00612443">
              <w:rPr>
                <w:rFonts w:ascii="Palatino Linotype" w:hAnsi="Palatino Linotype"/>
                <w:szCs w:val="22"/>
                <w:lang w:val="en-US"/>
              </w:rPr>
              <w:t xml:space="preserve">: The </w:t>
            </w:r>
            <w:r w:rsidR="00786816" w:rsidRPr="00612443">
              <w:rPr>
                <w:rFonts w:ascii="Palatino Linotype" w:hAnsi="Palatino Linotype"/>
                <w:szCs w:val="22"/>
                <w:lang w:val="en-US"/>
              </w:rPr>
              <w:t>2008 intervention impact on the distribution of inflation expectations</w:t>
            </w:r>
          </w:p>
          <w:p w:rsidR="008B51C4" w:rsidRPr="00612443" w:rsidRDefault="008B51C4" w:rsidP="00786816">
            <w:pPr>
              <w:jc w:val="center"/>
              <w:rPr>
                <w:rFonts w:ascii="Palatino Linotype" w:hAnsi="Palatino Linotype"/>
                <w:szCs w:val="22"/>
                <w:lang w:val="en-US"/>
              </w:rPr>
            </w:pPr>
            <w:r w:rsidRPr="00612443">
              <w:rPr>
                <w:rFonts w:ascii="Palatino Linotype" w:hAnsi="Palatino Linotype"/>
                <w:szCs w:val="22"/>
                <w:lang w:val="en-US"/>
              </w:rPr>
              <w:t xml:space="preserve">Granger </w:t>
            </w:r>
            <w:r w:rsidR="00786816" w:rsidRPr="00612443">
              <w:rPr>
                <w:rFonts w:ascii="Palatino Linotype" w:hAnsi="Palatino Linotype"/>
                <w:szCs w:val="22"/>
                <w:lang w:val="en-US"/>
              </w:rPr>
              <w:t xml:space="preserve">causality analysis </w:t>
            </w:r>
            <w:r w:rsidRPr="00612443">
              <w:rPr>
                <w:rFonts w:ascii="Palatino Linotype" w:hAnsi="Palatino Linotype"/>
                <w:szCs w:val="22"/>
                <w:lang w:val="en-US"/>
              </w:rPr>
              <w:t xml:space="preserve">with SUR, </w:t>
            </w:r>
            <w:r w:rsidR="00786816" w:rsidRPr="00612443">
              <w:rPr>
                <w:rFonts w:ascii="Palatino Linotype" w:hAnsi="Palatino Linotype"/>
                <w:szCs w:val="22"/>
                <w:lang w:val="en-US"/>
              </w:rPr>
              <w:t>expectations one month ahead</w:t>
            </w:r>
            <w:r w:rsidRPr="00612443">
              <w:rPr>
                <w:rFonts w:ascii="Palatino Linotype" w:hAnsi="Palatino Linotype"/>
                <w:szCs w:val="22"/>
                <w:lang w:val="en-US"/>
              </w:rPr>
              <w:t>, (</w:t>
            </w:r>
            <w:r w:rsidR="0049257F" w:rsidRPr="00612443">
              <w:rPr>
                <w:rFonts w:ascii="Palatino Linotype" w:hAnsi="Palatino Linotype"/>
                <w:position w:val="-12"/>
                <w:szCs w:val="22"/>
                <w:lang w:val="en-US"/>
              </w:rPr>
              <w:object w:dxaOrig="380" w:dyaOrig="380">
                <v:shape id="_x0000_i1044" type="#_x0000_t75" style="width:18.75pt;height:18.75pt" o:ole="">
                  <v:imagedata r:id="rId58" o:title=""/>
                </v:shape>
                <o:OLEObject Type="Embed" ProgID="Equation.DSMT4" ShapeID="_x0000_i1044" DrawAspect="Content" ObjectID="_1552495480" r:id="rId59"/>
              </w:object>
            </w:r>
            <w:r w:rsidRPr="00612443">
              <w:rPr>
                <w:rFonts w:ascii="Palatino Linotype" w:hAnsi="Palatino Linotype"/>
                <w:szCs w:val="22"/>
                <w:lang w:val="en-US"/>
              </w:rPr>
              <w:t>)</w:t>
            </w:r>
          </w:p>
        </w:tc>
      </w:tr>
      <w:tr w:rsidR="008B51C4" w:rsidRPr="00612443" w:rsidTr="00BD59ED">
        <w:tc>
          <w:tcPr>
            <w:tcW w:w="8978" w:type="dxa"/>
            <w:vAlign w:val="center"/>
          </w:tcPr>
          <w:p w:rsidR="008B51C4" w:rsidRPr="00612443" w:rsidRDefault="00BD59ED" w:rsidP="008B51C4">
            <w:pPr>
              <w:jc w:val="center"/>
              <w:rPr>
                <w:rFonts w:ascii="Palatino Linotype" w:hAnsi="Palatino Linotype"/>
                <w:szCs w:val="22"/>
                <w:lang w:val="en-US"/>
              </w:rPr>
            </w:pPr>
            <w:r w:rsidRPr="00612443">
              <w:rPr>
                <w:rFonts w:ascii="Palatino Linotype" w:hAnsi="Palatino Linotype"/>
                <w:szCs w:val="22"/>
                <w:lang w:val="en-US" w:eastAsia="en-US"/>
              </w:rPr>
              <w:drawing>
                <wp:inline distT="0" distB="0" distL="0" distR="0" wp14:anchorId="1301A7E9" wp14:editId="4193400E">
                  <wp:extent cx="4495770" cy="1680150"/>
                  <wp:effectExtent l="19050" t="0" r="30" b="0"/>
                  <wp:docPr id="10" name="9 Imagen" descr="Table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4.wmf"/>
                          <pic:cNvPicPr/>
                        </pic:nvPicPr>
                        <pic:blipFill>
                          <a:blip r:embed="rId60"/>
                          <a:stretch>
                            <a:fillRect/>
                          </a:stretch>
                        </pic:blipFill>
                        <pic:spPr>
                          <a:xfrm>
                            <a:off x="0" y="0"/>
                            <a:ext cx="4495770" cy="1680150"/>
                          </a:xfrm>
                          <a:prstGeom prst="rect">
                            <a:avLst/>
                          </a:prstGeom>
                        </pic:spPr>
                      </pic:pic>
                    </a:graphicData>
                  </a:graphic>
                </wp:inline>
              </w:drawing>
            </w:r>
          </w:p>
        </w:tc>
      </w:tr>
      <w:tr w:rsidR="008B51C4" w:rsidRPr="00612443" w:rsidTr="00BD59ED">
        <w:tc>
          <w:tcPr>
            <w:tcW w:w="8978" w:type="dxa"/>
            <w:vAlign w:val="center"/>
          </w:tcPr>
          <w:p w:rsidR="00BD59ED" w:rsidRPr="00612443" w:rsidRDefault="00BD59ED" w:rsidP="00BD59ED">
            <w:pPr>
              <w:jc w:val="center"/>
              <w:rPr>
                <w:rFonts w:ascii="Palatino Linotype" w:hAnsi="Palatino Linotype"/>
                <w:szCs w:val="22"/>
                <w:lang w:val="en-US"/>
              </w:rPr>
            </w:pPr>
          </w:p>
          <w:p w:rsidR="009E5AC3" w:rsidRPr="00612443" w:rsidRDefault="009E5AC3" w:rsidP="00BD59ED">
            <w:pPr>
              <w:jc w:val="center"/>
              <w:rPr>
                <w:rFonts w:ascii="Palatino Linotype" w:hAnsi="Palatino Linotype"/>
                <w:szCs w:val="22"/>
                <w:lang w:val="en-US"/>
              </w:rPr>
            </w:pPr>
          </w:p>
          <w:p w:rsidR="009E5AC3" w:rsidRPr="00612443" w:rsidRDefault="009E5AC3" w:rsidP="00BD59ED">
            <w:pPr>
              <w:jc w:val="center"/>
              <w:rPr>
                <w:rFonts w:ascii="Palatino Linotype" w:hAnsi="Palatino Linotype"/>
                <w:szCs w:val="22"/>
                <w:lang w:val="en-US"/>
              </w:rPr>
            </w:pPr>
          </w:p>
          <w:p w:rsidR="009E5AC3" w:rsidRPr="00612443" w:rsidRDefault="009E5AC3" w:rsidP="00BD59ED">
            <w:pPr>
              <w:jc w:val="center"/>
              <w:rPr>
                <w:rFonts w:ascii="Palatino Linotype" w:hAnsi="Palatino Linotype"/>
                <w:szCs w:val="22"/>
                <w:lang w:val="en-US"/>
              </w:rPr>
            </w:pPr>
          </w:p>
          <w:p w:rsidR="00444D56" w:rsidRDefault="00444D56" w:rsidP="00BD59ED">
            <w:pPr>
              <w:jc w:val="center"/>
              <w:rPr>
                <w:rFonts w:ascii="Palatino Linotype" w:hAnsi="Palatino Linotype"/>
                <w:szCs w:val="22"/>
                <w:lang w:val="en-US"/>
              </w:rPr>
            </w:pPr>
          </w:p>
          <w:p w:rsidR="00444D56" w:rsidRDefault="00444D56" w:rsidP="00BD59ED">
            <w:pPr>
              <w:jc w:val="center"/>
              <w:rPr>
                <w:rFonts w:ascii="Palatino Linotype" w:hAnsi="Palatino Linotype"/>
                <w:szCs w:val="22"/>
                <w:lang w:val="en-US"/>
              </w:rPr>
            </w:pPr>
          </w:p>
          <w:p w:rsidR="00444D56" w:rsidRDefault="00444D56" w:rsidP="00BD59ED">
            <w:pPr>
              <w:jc w:val="center"/>
              <w:rPr>
                <w:rFonts w:ascii="Palatino Linotype" w:hAnsi="Palatino Linotype"/>
                <w:szCs w:val="22"/>
                <w:lang w:val="en-US"/>
              </w:rPr>
            </w:pPr>
          </w:p>
          <w:p w:rsidR="00444D56" w:rsidRDefault="00444D56" w:rsidP="00BD59ED">
            <w:pPr>
              <w:jc w:val="center"/>
              <w:rPr>
                <w:rFonts w:ascii="Palatino Linotype" w:hAnsi="Palatino Linotype"/>
                <w:szCs w:val="22"/>
                <w:lang w:val="en-US"/>
              </w:rPr>
            </w:pPr>
          </w:p>
          <w:p w:rsidR="00444D56" w:rsidRDefault="00444D56" w:rsidP="00BD59ED">
            <w:pPr>
              <w:jc w:val="center"/>
              <w:rPr>
                <w:rFonts w:ascii="Palatino Linotype" w:hAnsi="Palatino Linotype"/>
                <w:szCs w:val="22"/>
                <w:lang w:val="en-US"/>
              </w:rPr>
            </w:pPr>
          </w:p>
          <w:p w:rsidR="00444D56" w:rsidRDefault="00444D56" w:rsidP="00BD59ED">
            <w:pPr>
              <w:jc w:val="center"/>
              <w:rPr>
                <w:rFonts w:ascii="Palatino Linotype" w:hAnsi="Palatino Linotype"/>
                <w:szCs w:val="22"/>
                <w:lang w:val="en-US"/>
              </w:rPr>
            </w:pPr>
          </w:p>
          <w:p w:rsidR="00444D56" w:rsidRDefault="00444D56" w:rsidP="00BD59ED">
            <w:pPr>
              <w:jc w:val="center"/>
              <w:rPr>
                <w:rFonts w:ascii="Palatino Linotype" w:hAnsi="Palatino Linotype"/>
                <w:szCs w:val="22"/>
                <w:lang w:val="en-US"/>
              </w:rPr>
            </w:pPr>
          </w:p>
          <w:p w:rsidR="00BD59ED" w:rsidRPr="00612443" w:rsidRDefault="00BD59ED" w:rsidP="00BD59ED">
            <w:pPr>
              <w:jc w:val="center"/>
              <w:rPr>
                <w:rFonts w:ascii="Palatino Linotype" w:hAnsi="Palatino Linotype"/>
                <w:szCs w:val="22"/>
                <w:lang w:val="en-US"/>
              </w:rPr>
            </w:pPr>
            <w:r w:rsidRPr="00612443">
              <w:rPr>
                <w:rFonts w:ascii="Palatino Linotype" w:hAnsi="Palatino Linotype"/>
                <w:szCs w:val="22"/>
                <w:lang w:val="en-US"/>
              </w:rPr>
              <w:t xml:space="preserve">Table </w:t>
            </w:r>
            <w:r w:rsidR="00444D56">
              <w:rPr>
                <w:rFonts w:ascii="Palatino Linotype" w:hAnsi="Palatino Linotype"/>
                <w:szCs w:val="22"/>
                <w:lang w:val="en-US"/>
              </w:rPr>
              <w:t>8</w:t>
            </w:r>
            <w:r w:rsidRPr="00612443">
              <w:rPr>
                <w:rFonts w:ascii="Palatino Linotype" w:hAnsi="Palatino Linotype"/>
                <w:szCs w:val="22"/>
                <w:lang w:val="en-US"/>
              </w:rPr>
              <w:t xml:space="preserve">: The 2008 </w:t>
            </w:r>
            <w:r w:rsidR="00786816" w:rsidRPr="00612443">
              <w:rPr>
                <w:rFonts w:ascii="Palatino Linotype" w:hAnsi="Palatino Linotype"/>
                <w:szCs w:val="22"/>
                <w:lang w:val="en-US"/>
              </w:rPr>
              <w:t>intervention impact on the distribution of inflation expectations</w:t>
            </w:r>
          </w:p>
          <w:p w:rsidR="008B51C4" w:rsidRPr="00612443" w:rsidRDefault="00BD59ED" w:rsidP="00BD59ED">
            <w:pPr>
              <w:jc w:val="center"/>
              <w:rPr>
                <w:rFonts w:ascii="Palatino Linotype" w:hAnsi="Palatino Linotype"/>
                <w:szCs w:val="22"/>
                <w:lang w:val="en-US"/>
              </w:rPr>
            </w:pPr>
            <w:r w:rsidRPr="00612443">
              <w:rPr>
                <w:rFonts w:ascii="Palatino Linotype" w:hAnsi="Palatino Linotype"/>
                <w:szCs w:val="22"/>
                <w:lang w:val="en-US"/>
              </w:rPr>
              <w:lastRenderedPageBreak/>
              <w:t xml:space="preserve">Granger </w:t>
            </w:r>
            <w:r w:rsidR="00786816" w:rsidRPr="00612443">
              <w:rPr>
                <w:rFonts w:ascii="Palatino Linotype" w:hAnsi="Palatino Linotype"/>
                <w:szCs w:val="22"/>
                <w:lang w:val="en-US"/>
              </w:rPr>
              <w:t xml:space="preserve">causality analysis </w:t>
            </w:r>
            <w:r w:rsidRPr="00612443">
              <w:rPr>
                <w:rFonts w:ascii="Palatino Linotype" w:hAnsi="Palatino Linotype"/>
                <w:szCs w:val="22"/>
                <w:lang w:val="en-US"/>
              </w:rPr>
              <w:t xml:space="preserve">with SUR, </w:t>
            </w:r>
            <w:r w:rsidR="00786816" w:rsidRPr="00612443">
              <w:rPr>
                <w:rFonts w:ascii="Palatino Linotype" w:hAnsi="Palatino Linotype"/>
                <w:szCs w:val="22"/>
                <w:lang w:val="en-US"/>
              </w:rPr>
              <w:t>expectations 12 months ahead</w:t>
            </w:r>
            <w:r w:rsidRPr="00612443">
              <w:rPr>
                <w:rFonts w:ascii="Palatino Linotype" w:hAnsi="Palatino Linotype"/>
                <w:szCs w:val="22"/>
                <w:lang w:val="en-US"/>
              </w:rPr>
              <w:t>, (</w:t>
            </w:r>
            <w:r w:rsidR="0049257F" w:rsidRPr="00612443">
              <w:rPr>
                <w:rFonts w:ascii="Palatino Linotype" w:hAnsi="Palatino Linotype"/>
                <w:position w:val="-12"/>
                <w:szCs w:val="22"/>
                <w:lang w:val="en-US"/>
              </w:rPr>
              <w:object w:dxaOrig="380" w:dyaOrig="380">
                <v:shape id="_x0000_i1045" type="#_x0000_t75" style="width:18.75pt;height:18.75pt" o:ole="">
                  <v:imagedata r:id="rId61" o:title=""/>
                </v:shape>
                <o:OLEObject Type="Embed" ProgID="Equation.DSMT4" ShapeID="_x0000_i1045" DrawAspect="Content" ObjectID="_1552495481" r:id="rId62"/>
              </w:object>
            </w:r>
            <w:r w:rsidRPr="00612443">
              <w:rPr>
                <w:rFonts w:ascii="Palatino Linotype" w:hAnsi="Palatino Linotype"/>
                <w:szCs w:val="22"/>
                <w:lang w:val="en-US"/>
              </w:rPr>
              <w:t>)</w:t>
            </w:r>
          </w:p>
        </w:tc>
      </w:tr>
      <w:tr w:rsidR="008B51C4" w:rsidRPr="00612443" w:rsidTr="00BD59ED">
        <w:tc>
          <w:tcPr>
            <w:tcW w:w="8978" w:type="dxa"/>
            <w:vAlign w:val="center"/>
          </w:tcPr>
          <w:p w:rsidR="008B51C4" w:rsidRPr="00612443" w:rsidRDefault="00BD59ED" w:rsidP="008B51C4">
            <w:pPr>
              <w:jc w:val="center"/>
              <w:rPr>
                <w:rFonts w:ascii="Palatino Linotype" w:hAnsi="Palatino Linotype"/>
                <w:szCs w:val="22"/>
                <w:lang w:val="en-US"/>
              </w:rPr>
            </w:pPr>
            <w:r w:rsidRPr="00612443">
              <w:rPr>
                <w:rFonts w:ascii="Palatino Linotype" w:hAnsi="Palatino Linotype"/>
                <w:szCs w:val="22"/>
                <w:lang w:val="en-US" w:eastAsia="en-US"/>
              </w:rPr>
              <w:lastRenderedPageBreak/>
              <w:drawing>
                <wp:inline distT="0" distB="0" distL="0" distR="0" wp14:anchorId="490D2B95" wp14:editId="194DCC72">
                  <wp:extent cx="4495770" cy="1680150"/>
                  <wp:effectExtent l="19050" t="0" r="30" b="0"/>
                  <wp:docPr id="11" name="10 Imagen" descr="Table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5.wmf"/>
                          <pic:cNvPicPr/>
                        </pic:nvPicPr>
                        <pic:blipFill>
                          <a:blip r:embed="rId63"/>
                          <a:stretch>
                            <a:fillRect/>
                          </a:stretch>
                        </pic:blipFill>
                        <pic:spPr>
                          <a:xfrm>
                            <a:off x="0" y="0"/>
                            <a:ext cx="4495770" cy="1680150"/>
                          </a:xfrm>
                          <a:prstGeom prst="rect">
                            <a:avLst/>
                          </a:prstGeom>
                        </pic:spPr>
                      </pic:pic>
                    </a:graphicData>
                  </a:graphic>
                </wp:inline>
              </w:drawing>
            </w:r>
          </w:p>
        </w:tc>
      </w:tr>
      <w:tr w:rsidR="008B51C4" w:rsidRPr="00612443" w:rsidTr="00BD59ED">
        <w:tc>
          <w:tcPr>
            <w:tcW w:w="8978" w:type="dxa"/>
            <w:vAlign w:val="center"/>
          </w:tcPr>
          <w:p w:rsidR="00444D56" w:rsidRDefault="00444D56" w:rsidP="00BD59ED">
            <w:pPr>
              <w:jc w:val="center"/>
              <w:rPr>
                <w:rFonts w:ascii="Palatino Linotype" w:hAnsi="Palatino Linotype"/>
                <w:szCs w:val="22"/>
                <w:lang w:val="en-US"/>
              </w:rPr>
            </w:pPr>
          </w:p>
          <w:p w:rsidR="00444D56" w:rsidRDefault="00444D56" w:rsidP="00BD59ED">
            <w:pPr>
              <w:jc w:val="center"/>
              <w:rPr>
                <w:rFonts w:ascii="Palatino Linotype" w:hAnsi="Palatino Linotype"/>
                <w:szCs w:val="22"/>
                <w:lang w:val="en-US"/>
              </w:rPr>
            </w:pPr>
          </w:p>
          <w:p w:rsidR="00BD59ED" w:rsidRPr="00612443" w:rsidRDefault="00BD59ED" w:rsidP="00BD59ED">
            <w:pPr>
              <w:jc w:val="center"/>
              <w:rPr>
                <w:rFonts w:ascii="Palatino Linotype" w:hAnsi="Palatino Linotype"/>
                <w:szCs w:val="22"/>
                <w:lang w:val="en-US"/>
              </w:rPr>
            </w:pPr>
            <w:r w:rsidRPr="00612443">
              <w:rPr>
                <w:rFonts w:ascii="Palatino Linotype" w:hAnsi="Palatino Linotype"/>
                <w:szCs w:val="22"/>
                <w:lang w:val="en-US"/>
              </w:rPr>
              <w:t xml:space="preserve">Table </w:t>
            </w:r>
            <w:r w:rsidR="00444D56">
              <w:rPr>
                <w:rFonts w:ascii="Palatino Linotype" w:hAnsi="Palatino Linotype"/>
                <w:szCs w:val="22"/>
                <w:lang w:val="en-US"/>
              </w:rPr>
              <w:t>9</w:t>
            </w:r>
            <w:r w:rsidRPr="00612443">
              <w:rPr>
                <w:rFonts w:ascii="Palatino Linotype" w:hAnsi="Palatino Linotype"/>
                <w:szCs w:val="22"/>
                <w:lang w:val="en-US"/>
              </w:rPr>
              <w:t xml:space="preserve">: The 2008 </w:t>
            </w:r>
            <w:r w:rsidR="00786816" w:rsidRPr="00612443">
              <w:rPr>
                <w:rFonts w:ascii="Palatino Linotype" w:hAnsi="Palatino Linotype"/>
                <w:szCs w:val="22"/>
                <w:lang w:val="en-US"/>
              </w:rPr>
              <w:t>intervention impact on the distribution of inflation expectations</w:t>
            </w:r>
          </w:p>
          <w:p w:rsidR="008B51C4" w:rsidRDefault="00BD59ED" w:rsidP="00BD59ED">
            <w:pPr>
              <w:jc w:val="center"/>
              <w:rPr>
                <w:rFonts w:ascii="Palatino Linotype" w:hAnsi="Palatino Linotype"/>
                <w:szCs w:val="22"/>
                <w:lang w:val="en-US"/>
              </w:rPr>
            </w:pPr>
            <w:r w:rsidRPr="00612443">
              <w:rPr>
                <w:rFonts w:ascii="Palatino Linotype" w:hAnsi="Palatino Linotype"/>
                <w:szCs w:val="22"/>
                <w:lang w:val="en-US"/>
              </w:rPr>
              <w:t xml:space="preserve">Granger </w:t>
            </w:r>
            <w:r w:rsidR="00786816" w:rsidRPr="00612443">
              <w:rPr>
                <w:rFonts w:ascii="Palatino Linotype" w:hAnsi="Palatino Linotype"/>
                <w:szCs w:val="22"/>
                <w:lang w:val="en-US"/>
              </w:rPr>
              <w:t xml:space="preserve">causality analysis </w:t>
            </w:r>
            <w:r w:rsidRPr="00612443">
              <w:rPr>
                <w:rFonts w:ascii="Palatino Linotype" w:hAnsi="Palatino Linotype"/>
                <w:szCs w:val="22"/>
                <w:lang w:val="en-US"/>
              </w:rPr>
              <w:t xml:space="preserve">with SUR, </w:t>
            </w:r>
            <w:r w:rsidR="00786816" w:rsidRPr="00612443">
              <w:rPr>
                <w:rFonts w:ascii="Palatino Linotype" w:hAnsi="Palatino Linotype"/>
                <w:szCs w:val="22"/>
                <w:lang w:val="en-US"/>
              </w:rPr>
              <w:t>expectations 24 months ahead</w:t>
            </w:r>
            <w:r w:rsidRPr="00612443">
              <w:rPr>
                <w:rFonts w:ascii="Palatino Linotype" w:hAnsi="Palatino Linotype"/>
                <w:szCs w:val="22"/>
                <w:lang w:val="en-US"/>
              </w:rPr>
              <w:t>, (</w:t>
            </w:r>
            <w:r w:rsidR="0049257F" w:rsidRPr="00612443">
              <w:rPr>
                <w:rFonts w:ascii="Palatino Linotype" w:hAnsi="Palatino Linotype"/>
                <w:position w:val="-12"/>
                <w:szCs w:val="22"/>
                <w:lang w:val="en-US"/>
              </w:rPr>
              <w:object w:dxaOrig="380" w:dyaOrig="380">
                <v:shape id="_x0000_i1046" type="#_x0000_t75" style="width:18.75pt;height:18.75pt" o:ole="">
                  <v:imagedata r:id="rId64" o:title=""/>
                </v:shape>
                <o:OLEObject Type="Embed" ProgID="Equation.DSMT4" ShapeID="_x0000_i1046" DrawAspect="Content" ObjectID="_1552495482" r:id="rId65"/>
              </w:object>
            </w:r>
            <w:r w:rsidRPr="00612443">
              <w:rPr>
                <w:rFonts w:ascii="Palatino Linotype" w:hAnsi="Palatino Linotype"/>
                <w:szCs w:val="22"/>
                <w:lang w:val="en-US"/>
              </w:rPr>
              <w:t>)</w:t>
            </w:r>
          </w:p>
          <w:p w:rsidR="00444D56" w:rsidRPr="00612443" w:rsidRDefault="00444D56" w:rsidP="00BD59ED">
            <w:pPr>
              <w:jc w:val="center"/>
              <w:rPr>
                <w:rFonts w:ascii="Palatino Linotype" w:hAnsi="Palatino Linotype"/>
                <w:szCs w:val="22"/>
                <w:lang w:val="en-US"/>
              </w:rPr>
            </w:pPr>
          </w:p>
        </w:tc>
      </w:tr>
      <w:tr w:rsidR="008B51C4" w:rsidRPr="00612443" w:rsidTr="00BD59ED">
        <w:tc>
          <w:tcPr>
            <w:tcW w:w="8978" w:type="dxa"/>
            <w:vAlign w:val="center"/>
          </w:tcPr>
          <w:p w:rsidR="008B51C4" w:rsidRPr="00612443" w:rsidRDefault="00BD59ED" w:rsidP="008B51C4">
            <w:pPr>
              <w:jc w:val="center"/>
              <w:rPr>
                <w:rFonts w:ascii="Palatino Linotype" w:hAnsi="Palatino Linotype"/>
                <w:szCs w:val="22"/>
                <w:lang w:val="en-US"/>
              </w:rPr>
            </w:pPr>
            <w:r w:rsidRPr="00612443">
              <w:rPr>
                <w:rFonts w:ascii="Palatino Linotype" w:hAnsi="Palatino Linotype"/>
                <w:szCs w:val="22"/>
                <w:lang w:val="en-US" w:eastAsia="en-US"/>
              </w:rPr>
              <w:drawing>
                <wp:inline distT="0" distB="0" distL="0" distR="0" wp14:anchorId="58A8F8AB" wp14:editId="6558AE5B">
                  <wp:extent cx="4495770" cy="1680150"/>
                  <wp:effectExtent l="19050" t="0" r="30" b="0"/>
                  <wp:docPr id="12" name="11 Imagen" descr="Table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6.wmf"/>
                          <pic:cNvPicPr/>
                        </pic:nvPicPr>
                        <pic:blipFill>
                          <a:blip r:embed="rId66"/>
                          <a:stretch>
                            <a:fillRect/>
                          </a:stretch>
                        </pic:blipFill>
                        <pic:spPr>
                          <a:xfrm>
                            <a:off x="0" y="0"/>
                            <a:ext cx="4495770" cy="1680150"/>
                          </a:xfrm>
                          <a:prstGeom prst="rect">
                            <a:avLst/>
                          </a:prstGeom>
                        </pic:spPr>
                      </pic:pic>
                    </a:graphicData>
                  </a:graphic>
                </wp:inline>
              </w:drawing>
            </w:r>
          </w:p>
        </w:tc>
      </w:tr>
    </w:tbl>
    <w:p w:rsidR="008B51C4" w:rsidRPr="00612443" w:rsidRDefault="008B51C4">
      <w:pPr>
        <w:rPr>
          <w:rFonts w:ascii="Palatino Linotype" w:hAnsi="Palatino Linotype"/>
          <w:sz w:val="22"/>
          <w:szCs w:val="22"/>
          <w:lang w:val="en-US"/>
        </w:rPr>
      </w:pPr>
    </w:p>
    <w:p w:rsidR="0058159B" w:rsidRPr="00612443" w:rsidRDefault="0058159B" w:rsidP="0058159B">
      <w:pPr>
        <w:rPr>
          <w:rFonts w:ascii="Palatino Linotype" w:hAnsi="Palatino Linotype"/>
          <w:lang w:val="en-US"/>
        </w:rPr>
      </w:pPr>
    </w:p>
    <w:p w:rsidR="00B76EA2" w:rsidRPr="00612443" w:rsidRDefault="009E5AC3">
      <w:pPr>
        <w:ind w:firstLine="300"/>
        <w:rPr>
          <w:rFonts w:ascii="Palatino Linotype" w:hAnsi="Palatino Linotype"/>
          <w:sz w:val="22"/>
          <w:szCs w:val="22"/>
          <w:lang w:val="en-US"/>
        </w:rPr>
      </w:pPr>
      <w:r w:rsidRPr="00612443">
        <w:rPr>
          <w:rFonts w:ascii="Palatino Linotype" w:hAnsi="Palatino Linotype"/>
          <w:sz w:val="22"/>
          <w:szCs w:val="22"/>
          <w:lang w:val="en-US"/>
        </w:rPr>
        <w:t xml:space="preserve">In Table </w:t>
      </w:r>
      <w:r w:rsidR="00444D56">
        <w:rPr>
          <w:rFonts w:ascii="Palatino Linotype" w:hAnsi="Palatino Linotype"/>
          <w:sz w:val="22"/>
          <w:szCs w:val="22"/>
          <w:lang w:val="en-US"/>
        </w:rPr>
        <w:t>10</w:t>
      </w:r>
      <w:r w:rsidRPr="00612443">
        <w:rPr>
          <w:rFonts w:ascii="Palatino Linotype" w:hAnsi="Palatino Linotype"/>
          <w:sz w:val="22"/>
          <w:szCs w:val="22"/>
          <w:lang w:val="en-US"/>
        </w:rPr>
        <w:t xml:space="preserve"> we summarize the results shown in </w:t>
      </w:r>
      <w:r w:rsidR="009E53B5" w:rsidRPr="00612443">
        <w:rPr>
          <w:rFonts w:ascii="Palatino Linotype" w:hAnsi="Palatino Linotype"/>
          <w:sz w:val="22"/>
          <w:szCs w:val="22"/>
          <w:lang w:val="en-US"/>
        </w:rPr>
        <w:t>T</w:t>
      </w:r>
      <w:r w:rsidRPr="00612443">
        <w:rPr>
          <w:rFonts w:ascii="Palatino Linotype" w:hAnsi="Palatino Linotype"/>
          <w:sz w:val="22"/>
          <w:szCs w:val="22"/>
          <w:lang w:val="en-US"/>
        </w:rPr>
        <w:t xml:space="preserve">ables </w:t>
      </w:r>
      <w:r w:rsidR="00444D56">
        <w:rPr>
          <w:rFonts w:ascii="Palatino Linotype" w:hAnsi="Palatino Linotype"/>
          <w:sz w:val="22"/>
          <w:szCs w:val="22"/>
          <w:lang w:val="en-US"/>
        </w:rPr>
        <w:t>7</w:t>
      </w:r>
      <w:r w:rsidR="00786816" w:rsidRPr="00612443">
        <w:rPr>
          <w:rFonts w:ascii="Palatino Linotype" w:hAnsi="Palatino Linotype"/>
          <w:sz w:val="22"/>
          <w:szCs w:val="22"/>
          <w:lang w:val="en-US"/>
        </w:rPr>
        <w:t>–</w:t>
      </w:r>
      <w:r w:rsidR="00444D56">
        <w:rPr>
          <w:rFonts w:ascii="Palatino Linotype" w:hAnsi="Palatino Linotype"/>
          <w:sz w:val="22"/>
          <w:szCs w:val="22"/>
          <w:lang w:val="en-US"/>
        </w:rPr>
        <w:t>9</w:t>
      </w:r>
      <w:r w:rsidRPr="00612443">
        <w:rPr>
          <w:rFonts w:ascii="Palatino Linotype" w:hAnsi="Palatino Linotype"/>
          <w:sz w:val="22"/>
          <w:szCs w:val="22"/>
          <w:lang w:val="en-US"/>
        </w:rPr>
        <w:t xml:space="preserve"> but now considering joint tests rather than single tests for each expectation decile</w:t>
      </w:r>
      <w:r w:rsidR="00003CF2" w:rsidRPr="00612443">
        <w:rPr>
          <w:rFonts w:ascii="Palatino Linotype" w:hAnsi="Palatino Linotype"/>
          <w:sz w:val="22"/>
          <w:szCs w:val="22"/>
          <w:lang w:val="en-US"/>
        </w:rPr>
        <w:t>.</w:t>
      </w:r>
    </w:p>
    <w:p w:rsidR="00003CF2" w:rsidRPr="00612443" w:rsidRDefault="00003CF2">
      <w:pPr>
        <w:ind w:firstLine="300"/>
        <w:rPr>
          <w:rFonts w:ascii="Palatino Linotype" w:hAnsi="Palatino Linotype"/>
          <w:sz w:val="22"/>
          <w:szCs w:val="22"/>
          <w:lang w:val="en-US"/>
        </w:rPr>
      </w:pPr>
    </w:p>
    <w:p w:rsidR="00B76EA2" w:rsidRPr="00612443" w:rsidRDefault="00B76EA2" w:rsidP="00444D56">
      <w:pPr>
        <w:jc w:val="center"/>
        <w:rPr>
          <w:rFonts w:ascii="Palatino Linotype" w:hAnsi="Palatino Linotype"/>
          <w:lang w:val="en-US"/>
        </w:rPr>
      </w:pPr>
      <w:r w:rsidRPr="00612443">
        <w:rPr>
          <w:rFonts w:ascii="Palatino Linotype" w:hAnsi="Palatino Linotype"/>
          <w:lang w:val="en-US"/>
        </w:rPr>
        <w:t xml:space="preserve">Table </w:t>
      </w:r>
      <w:r w:rsidR="00444D56">
        <w:rPr>
          <w:rFonts w:ascii="Palatino Linotype" w:hAnsi="Palatino Linotype"/>
          <w:lang w:val="en-US"/>
        </w:rPr>
        <w:t>10</w:t>
      </w:r>
      <w:r w:rsidRPr="00612443">
        <w:rPr>
          <w:rFonts w:ascii="Palatino Linotype" w:hAnsi="Palatino Linotype"/>
          <w:lang w:val="en-US"/>
        </w:rPr>
        <w:t xml:space="preserve">: Testing the </w:t>
      </w:r>
      <w:r w:rsidR="00786816" w:rsidRPr="00612443">
        <w:rPr>
          <w:rFonts w:ascii="Palatino Linotype" w:hAnsi="Palatino Linotype"/>
          <w:lang w:val="en-US"/>
        </w:rPr>
        <w:t>joint hypothesis of no intervention impact on the distribution of inflation expectations</w:t>
      </w:r>
      <w:r w:rsidR="00444D56">
        <w:rPr>
          <w:rFonts w:ascii="Palatino Linotype" w:hAnsi="Palatino Linotype"/>
          <w:lang w:val="en-US"/>
        </w:rPr>
        <w:t xml:space="preserve"> d</w:t>
      </w:r>
      <w:r w:rsidRPr="00612443">
        <w:rPr>
          <w:rFonts w:ascii="Palatino Linotype" w:hAnsi="Palatino Linotype"/>
          <w:lang w:val="en-US"/>
        </w:rPr>
        <w:t xml:space="preserve">uring the 2008 </w:t>
      </w:r>
      <w:r w:rsidR="00786816" w:rsidRPr="00612443">
        <w:rPr>
          <w:rFonts w:ascii="Palatino Linotype" w:hAnsi="Palatino Linotype"/>
          <w:lang w:val="en-US"/>
        </w:rPr>
        <w:t>intervention program</w:t>
      </w:r>
    </w:p>
    <w:p w:rsidR="00B76EA2" w:rsidRPr="00612443" w:rsidRDefault="00B76EA2" w:rsidP="00B76EA2">
      <w:pPr>
        <w:ind w:firstLine="300"/>
        <w:jc w:val="center"/>
        <w:rPr>
          <w:rFonts w:ascii="Palatino Linotype" w:hAnsi="Palatino Linotype"/>
          <w:sz w:val="22"/>
          <w:szCs w:val="22"/>
          <w:lang w:val="en-US"/>
        </w:rPr>
      </w:pPr>
      <w:r w:rsidRPr="00612443">
        <w:rPr>
          <w:rFonts w:ascii="Palatino Linotype" w:hAnsi="Palatino Linotype"/>
          <w:szCs w:val="22"/>
          <w:lang w:val="en-US" w:eastAsia="en-US"/>
        </w:rPr>
        <w:drawing>
          <wp:inline distT="0" distB="0" distL="0" distR="0" wp14:anchorId="1625CB07" wp14:editId="42EA8995">
            <wp:extent cx="5037979" cy="653861"/>
            <wp:effectExtent l="19050" t="0" r="0" b="0"/>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7"/>
                    <a:srcRect/>
                    <a:stretch>
                      <a:fillRect/>
                    </a:stretch>
                  </pic:blipFill>
                  <pic:spPr bwMode="auto">
                    <a:xfrm>
                      <a:off x="0" y="0"/>
                      <a:ext cx="5039170" cy="654016"/>
                    </a:xfrm>
                    <a:prstGeom prst="rect">
                      <a:avLst/>
                    </a:prstGeom>
                    <a:noFill/>
                    <a:ln w="9525">
                      <a:noFill/>
                      <a:miter lim="800000"/>
                      <a:headEnd/>
                      <a:tailEnd/>
                    </a:ln>
                  </pic:spPr>
                </pic:pic>
              </a:graphicData>
            </a:graphic>
          </wp:inline>
        </w:drawing>
      </w:r>
    </w:p>
    <w:p w:rsidR="00B76EA2" w:rsidRPr="00612443" w:rsidRDefault="00B76EA2" w:rsidP="00B76EA2">
      <w:pPr>
        <w:ind w:firstLine="300"/>
        <w:rPr>
          <w:rFonts w:ascii="Palatino Linotype" w:hAnsi="Palatino Linotype"/>
          <w:sz w:val="18"/>
          <w:szCs w:val="18"/>
          <w:lang w:val="en-US"/>
        </w:rPr>
      </w:pPr>
      <w:r w:rsidRPr="00612443">
        <w:rPr>
          <w:rFonts w:ascii="Palatino Linotype" w:hAnsi="Palatino Linotype"/>
          <w:sz w:val="18"/>
          <w:szCs w:val="18"/>
          <w:lang w:val="en-US"/>
        </w:rPr>
        <w:t>Notes</w:t>
      </w:r>
      <w:r w:rsidRPr="00612443">
        <w:rPr>
          <w:rFonts w:ascii="Palatino Linotype" w:hAnsi="Palatino Linotype"/>
          <w:sz w:val="22"/>
          <w:szCs w:val="22"/>
          <w:lang w:val="en-US"/>
        </w:rPr>
        <w:t>: I</w:t>
      </w:r>
      <w:r w:rsidRPr="00612443">
        <w:rPr>
          <w:rFonts w:ascii="Palatino Linotype" w:hAnsi="Palatino Linotype"/>
          <w:sz w:val="18"/>
          <w:szCs w:val="18"/>
          <w:lang w:val="en-US"/>
        </w:rPr>
        <w:t xml:space="preserve">n the first two columns we test the null hypothesis that all nine </w:t>
      </w:r>
      <m:oMath>
        <m:sSubSup>
          <m:sSubSupPr>
            <m:ctrlPr>
              <w:rPr>
                <w:rFonts w:ascii="Cambria Math" w:hAnsi="Cambria Math"/>
                <w:i/>
                <w:sz w:val="18"/>
                <w:szCs w:val="18"/>
                <w:lang w:val="en-US"/>
              </w:rPr>
            </m:ctrlPr>
          </m:sSubSupPr>
          <m:e>
            <m:r>
              <w:rPr>
                <w:rFonts w:ascii="Cambria Math" w:hAnsi="Cambria Math"/>
                <w:sz w:val="18"/>
                <w:szCs w:val="18"/>
                <w:lang w:val="en-US"/>
              </w:rPr>
              <m:t>γ</m:t>
            </m:r>
          </m:e>
          <m:sub>
            <m:r>
              <w:rPr>
                <w:rFonts w:ascii="Cambria Math" w:hAnsi="Cambria Math"/>
                <w:sz w:val="18"/>
                <w:szCs w:val="18"/>
                <w:lang w:val="en-US"/>
              </w:rPr>
              <m:t>ih</m:t>
            </m:r>
          </m:sub>
          <m:sup>
            <m:r>
              <w:rPr>
                <w:rFonts w:ascii="Cambria Math" w:hAnsi="Cambria Math"/>
                <w:sz w:val="18"/>
                <w:szCs w:val="18"/>
                <w:lang w:val="en-US"/>
              </w:rPr>
              <m:t>(1)</m:t>
            </m:r>
          </m:sup>
        </m:sSubSup>
      </m:oMath>
      <w:r w:rsidRPr="00612443">
        <w:rPr>
          <w:rFonts w:ascii="Palatino Linotype" w:hAnsi="Palatino Linotype"/>
          <w:sz w:val="18"/>
          <w:szCs w:val="18"/>
          <w:lang w:val="en-US"/>
        </w:rPr>
        <w:t>coefficients are zero.</w:t>
      </w:r>
    </w:p>
    <w:p w:rsidR="00B76EA2" w:rsidRPr="00612443" w:rsidRDefault="00B76EA2" w:rsidP="00B76EA2">
      <w:pPr>
        <w:ind w:left="870"/>
        <w:rPr>
          <w:rFonts w:ascii="Palatino Linotype" w:hAnsi="Palatino Linotype"/>
          <w:sz w:val="22"/>
          <w:szCs w:val="22"/>
          <w:lang w:val="en-US"/>
        </w:rPr>
      </w:pPr>
      <w:r w:rsidRPr="00612443">
        <w:rPr>
          <w:rFonts w:ascii="Palatino Linotype" w:hAnsi="Palatino Linotype"/>
          <w:sz w:val="22"/>
          <w:szCs w:val="22"/>
          <w:lang w:val="en-US"/>
        </w:rPr>
        <w:t>I</w:t>
      </w:r>
      <w:r w:rsidRPr="00612443">
        <w:rPr>
          <w:rFonts w:ascii="Palatino Linotype" w:hAnsi="Palatino Linotype"/>
          <w:sz w:val="18"/>
          <w:szCs w:val="18"/>
          <w:lang w:val="en-US"/>
        </w:rPr>
        <w:t xml:space="preserve">n the last two columns we test the null hypothesis that only the central coefficients </w:t>
      </w:r>
      <m:oMath>
        <m:sSubSup>
          <m:sSubSupPr>
            <m:ctrlPr>
              <w:rPr>
                <w:rFonts w:ascii="Cambria Math" w:hAnsi="Cambria Math"/>
                <w:i/>
                <w:sz w:val="18"/>
                <w:szCs w:val="18"/>
                <w:lang w:val="en-US"/>
              </w:rPr>
            </m:ctrlPr>
          </m:sSubSupPr>
          <m:e>
            <m:r>
              <w:rPr>
                <w:rFonts w:ascii="Cambria Math" w:hAnsi="Cambria Math"/>
                <w:sz w:val="18"/>
                <w:szCs w:val="18"/>
                <w:lang w:val="en-US"/>
              </w:rPr>
              <m:t>γ</m:t>
            </m:r>
          </m:e>
          <m:sub>
            <m:r>
              <w:rPr>
                <w:rFonts w:ascii="Cambria Math" w:hAnsi="Cambria Math"/>
                <w:sz w:val="18"/>
                <w:szCs w:val="18"/>
                <w:lang w:val="en-US"/>
              </w:rPr>
              <m:t>ih</m:t>
            </m:r>
          </m:sub>
          <m:sup>
            <m:r>
              <w:rPr>
                <w:rFonts w:ascii="Cambria Math" w:hAnsi="Cambria Math"/>
                <w:sz w:val="18"/>
                <w:szCs w:val="18"/>
                <w:lang w:val="en-US"/>
              </w:rPr>
              <m:t>(1)</m:t>
            </m:r>
          </m:sup>
        </m:sSubSup>
        <m:r>
          <w:rPr>
            <w:rFonts w:ascii="Cambria Math" w:hAnsi="Cambria Math"/>
            <w:sz w:val="18"/>
            <w:szCs w:val="18"/>
            <w:lang w:val="en-US"/>
          </w:rPr>
          <m:t xml:space="preserve"> </m:t>
        </m:r>
      </m:oMath>
      <w:r w:rsidRPr="00612443">
        <w:rPr>
          <w:rFonts w:ascii="Palatino Linotype" w:hAnsi="Palatino Linotype"/>
          <w:sz w:val="18"/>
          <w:szCs w:val="18"/>
          <w:lang w:val="en-US"/>
        </w:rPr>
        <w:t xml:space="preserve">are zero. In other words: </w:t>
      </w:r>
      <m:oMath>
        <m:sSub>
          <m:sSubPr>
            <m:ctrlPr>
              <w:rPr>
                <w:rFonts w:ascii="Cambria Math" w:hAnsi="Cambria Math"/>
                <w:i/>
                <w:sz w:val="18"/>
                <w:szCs w:val="18"/>
                <w:lang w:val="en-US"/>
              </w:rPr>
            </m:ctrlPr>
          </m:sSubPr>
          <m:e>
            <m:r>
              <w:rPr>
                <w:rFonts w:ascii="Cambria Math" w:hAnsi="Cambria Math"/>
                <w:sz w:val="18"/>
                <w:szCs w:val="18"/>
                <w:lang w:val="en-US"/>
              </w:rPr>
              <m:t>H</m:t>
            </m:r>
          </m:e>
          <m:sub>
            <m:r>
              <w:rPr>
                <w:rFonts w:ascii="Cambria Math" w:hAnsi="Cambria Math"/>
                <w:sz w:val="18"/>
                <w:szCs w:val="18"/>
                <w:lang w:val="en-US"/>
              </w:rPr>
              <m:t>0</m:t>
            </m:r>
          </m:sub>
        </m:sSub>
        <m:r>
          <w:rPr>
            <w:rFonts w:ascii="Cambria Math" w:hAnsi="Cambria Math"/>
            <w:sz w:val="18"/>
            <w:szCs w:val="18"/>
            <w:lang w:val="en-US"/>
          </w:rPr>
          <m:t xml:space="preserve">:   </m:t>
        </m:r>
        <m:sSubSup>
          <m:sSubSupPr>
            <m:ctrlPr>
              <w:rPr>
                <w:rFonts w:ascii="Cambria Math" w:hAnsi="Cambria Math"/>
                <w:i/>
                <w:sz w:val="18"/>
                <w:szCs w:val="18"/>
                <w:lang w:val="en-US"/>
              </w:rPr>
            </m:ctrlPr>
          </m:sSubSupPr>
          <m:e>
            <m:r>
              <w:rPr>
                <w:rFonts w:ascii="Cambria Math" w:hAnsi="Cambria Math"/>
                <w:sz w:val="18"/>
                <w:szCs w:val="18"/>
                <w:lang w:val="en-US"/>
              </w:rPr>
              <m:t>γ</m:t>
            </m:r>
          </m:e>
          <m:sub>
            <m:r>
              <w:rPr>
                <w:rFonts w:ascii="Cambria Math" w:hAnsi="Cambria Math"/>
                <w:sz w:val="18"/>
                <w:szCs w:val="18"/>
                <w:lang w:val="en-US"/>
              </w:rPr>
              <m:t>3</m:t>
            </m:r>
            <m:r>
              <w:rPr>
                <w:rFonts w:ascii="Cambria Math" w:hAnsi="Cambria Math"/>
                <w:sz w:val="18"/>
                <w:szCs w:val="18"/>
                <w:lang w:val="en-US"/>
              </w:rPr>
              <m:t>h</m:t>
            </m:r>
          </m:sub>
          <m:sup>
            <m:r>
              <w:rPr>
                <w:rFonts w:ascii="Cambria Math" w:hAnsi="Cambria Math"/>
                <w:sz w:val="18"/>
                <w:szCs w:val="18"/>
                <w:lang w:val="en-US"/>
              </w:rPr>
              <m:t>(1)</m:t>
            </m:r>
          </m:sup>
        </m:sSubSup>
        <m:r>
          <w:rPr>
            <w:rFonts w:ascii="Cambria Math" w:hAnsi="Cambria Math"/>
            <w:sz w:val="18"/>
            <w:szCs w:val="18"/>
            <w:lang w:val="en-US"/>
          </w:rPr>
          <m:t>=</m:t>
        </m:r>
        <m:sSubSup>
          <m:sSubSupPr>
            <m:ctrlPr>
              <w:rPr>
                <w:rFonts w:ascii="Cambria Math" w:hAnsi="Cambria Math"/>
                <w:i/>
                <w:sz w:val="18"/>
                <w:szCs w:val="18"/>
                <w:lang w:val="en-US"/>
              </w:rPr>
            </m:ctrlPr>
          </m:sSubSupPr>
          <m:e>
            <m:r>
              <w:rPr>
                <w:rFonts w:ascii="Cambria Math" w:hAnsi="Cambria Math"/>
                <w:sz w:val="18"/>
                <w:szCs w:val="18"/>
                <w:lang w:val="en-US"/>
              </w:rPr>
              <m:t>γ</m:t>
            </m:r>
          </m:e>
          <m:sub>
            <m:r>
              <w:rPr>
                <w:rFonts w:ascii="Cambria Math" w:hAnsi="Cambria Math"/>
                <w:sz w:val="18"/>
                <w:szCs w:val="18"/>
                <w:lang w:val="en-US"/>
              </w:rPr>
              <m:t>4</m:t>
            </m:r>
            <m:r>
              <w:rPr>
                <w:rFonts w:ascii="Cambria Math" w:hAnsi="Cambria Math"/>
                <w:sz w:val="18"/>
                <w:szCs w:val="18"/>
                <w:lang w:val="en-US"/>
              </w:rPr>
              <m:t>h</m:t>
            </m:r>
          </m:sub>
          <m:sup>
            <m:r>
              <w:rPr>
                <w:rFonts w:ascii="Cambria Math" w:hAnsi="Cambria Math"/>
                <w:sz w:val="18"/>
                <w:szCs w:val="18"/>
                <w:lang w:val="en-US"/>
              </w:rPr>
              <m:t>(1)</m:t>
            </m:r>
          </m:sup>
        </m:sSubSup>
        <m:r>
          <w:rPr>
            <w:rFonts w:ascii="Cambria Math" w:hAnsi="Cambria Math"/>
            <w:sz w:val="18"/>
            <w:szCs w:val="18"/>
            <w:lang w:val="en-US"/>
          </w:rPr>
          <m:t>=</m:t>
        </m:r>
        <m:sSubSup>
          <m:sSubSupPr>
            <m:ctrlPr>
              <w:rPr>
                <w:rFonts w:ascii="Cambria Math" w:hAnsi="Cambria Math"/>
                <w:i/>
                <w:sz w:val="18"/>
                <w:szCs w:val="18"/>
                <w:lang w:val="en-US"/>
              </w:rPr>
            </m:ctrlPr>
          </m:sSubSupPr>
          <m:e>
            <m:r>
              <w:rPr>
                <w:rFonts w:ascii="Cambria Math" w:hAnsi="Cambria Math"/>
                <w:sz w:val="18"/>
                <w:szCs w:val="18"/>
                <w:lang w:val="en-US"/>
              </w:rPr>
              <m:t>γ</m:t>
            </m:r>
          </m:e>
          <m:sub>
            <m:r>
              <w:rPr>
                <w:rFonts w:ascii="Cambria Math" w:hAnsi="Cambria Math"/>
                <w:sz w:val="18"/>
                <w:szCs w:val="18"/>
                <w:lang w:val="en-US"/>
              </w:rPr>
              <m:t>5</m:t>
            </m:r>
            <m:r>
              <w:rPr>
                <w:rFonts w:ascii="Cambria Math" w:hAnsi="Cambria Math"/>
                <w:sz w:val="18"/>
                <w:szCs w:val="18"/>
                <w:lang w:val="en-US"/>
              </w:rPr>
              <m:t>h</m:t>
            </m:r>
          </m:sub>
          <m:sup>
            <m:r>
              <w:rPr>
                <w:rFonts w:ascii="Cambria Math" w:hAnsi="Cambria Math"/>
                <w:sz w:val="18"/>
                <w:szCs w:val="18"/>
                <w:lang w:val="en-US"/>
              </w:rPr>
              <m:t>(1)</m:t>
            </m:r>
          </m:sup>
        </m:sSubSup>
        <m:r>
          <w:rPr>
            <w:rFonts w:ascii="Cambria Math" w:hAnsi="Cambria Math"/>
            <w:sz w:val="18"/>
            <w:szCs w:val="18"/>
            <w:lang w:val="en-US"/>
          </w:rPr>
          <m:t>=</m:t>
        </m:r>
        <m:sSubSup>
          <m:sSubSupPr>
            <m:ctrlPr>
              <w:rPr>
                <w:rFonts w:ascii="Cambria Math" w:hAnsi="Cambria Math"/>
                <w:i/>
                <w:sz w:val="18"/>
                <w:szCs w:val="18"/>
                <w:lang w:val="en-US"/>
              </w:rPr>
            </m:ctrlPr>
          </m:sSubSupPr>
          <m:e>
            <m:r>
              <w:rPr>
                <w:rFonts w:ascii="Cambria Math" w:hAnsi="Cambria Math"/>
                <w:sz w:val="18"/>
                <w:szCs w:val="18"/>
                <w:lang w:val="en-US"/>
              </w:rPr>
              <m:t>γ</m:t>
            </m:r>
          </m:e>
          <m:sub>
            <m:r>
              <w:rPr>
                <w:rFonts w:ascii="Cambria Math" w:hAnsi="Cambria Math"/>
                <w:sz w:val="18"/>
                <w:szCs w:val="18"/>
                <w:lang w:val="en-US"/>
              </w:rPr>
              <m:t>6</m:t>
            </m:r>
            <m:r>
              <w:rPr>
                <w:rFonts w:ascii="Cambria Math" w:hAnsi="Cambria Math"/>
                <w:sz w:val="18"/>
                <w:szCs w:val="18"/>
                <w:lang w:val="en-US"/>
              </w:rPr>
              <m:t>h</m:t>
            </m:r>
          </m:sub>
          <m:sup>
            <m:r>
              <w:rPr>
                <w:rFonts w:ascii="Cambria Math" w:hAnsi="Cambria Math"/>
                <w:sz w:val="18"/>
                <w:szCs w:val="18"/>
                <w:lang w:val="en-US"/>
              </w:rPr>
              <m:t>(1)</m:t>
            </m:r>
          </m:sup>
        </m:sSubSup>
        <m:r>
          <w:rPr>
            <w:rFonts w:ascii="Cambria Math" w:hAnsi="Cambria Math"/>
            <w:sz w:val="18"/>
            <w:szCs w:val="18"/>
            <w:lang w:val="en-US"/>
          </w:rPr>
          <m:t>=</m:t>
        </m:r>
        <m:sSubSup>
          <m:sSubSupPr>
            <m:ctrlPr>
              <w:rPr>
                <w:rFonts w:ascii="Cambria Math" w:hAnsi="Cambria Math"/>
                <w:i/>
                <w:sz w:val="18"/>
                <w:szCs w:val="18"/>
                <w:lang w:val="en-US"/>
              </w:rPr>
            </m:ctrlPr>
          </m:sSubSupPr>
          <m:e>
            <m:r>
              <w:rPr>
                <w:rFonts w:ascii="Cambria Math" w:hAnsi="Cambria Math"/>
                <w:sz w:val="18"/>
                <w:szCs w:val="18"/>
                <w:lang w:val="en-US"/>
              </w:rPr>
              <m:t>γ</m:t>
            </m:r>
          </m:e>
          <m:sub>
            <m:r>
              <w:rPr>
                <w:rFonts w:ascii="Cambria Math" w:hAnsi="Cambria Math"/>
                <w:sz w:val="18"/>
                <w:szCs w:val="18"/>
                <w:lang w:val="en-US"/>
              </w:rPr>
              <m:t>7</m:t>
            </m:r>
            <m:r>
              <w:rPr>
                <w:rFonts w:ascii="Cambria Math" w:hAnsi="Cambria Math"/>
                <w:sz w:val="18"/>
                <w:szCs w:val="18"/>
                <w:lang w:val="en-US"/>
              </w:rPr>
              <m:t>h</m:t>
            </m:r>
          </m:sub>
          <m:sup>
            <m:r>
              <w:rPr>
                <w:rFonts w:ascii="Cambria Math" w:hAnsi="Cambria Math"/>
                <w:sz w:val="18"/>
                <w:szCs w:val="18"/>
                <w:lang w:val="en-US"/>
              </w:rPr>
              <m:t>(1)</m:t>
            </m:r>
          </m:sup>
        </m:sSubSup>
        <m:r>
          <w:rPr>
            <w:rFonts w:ascii="Cambria Math" w:hAnsi="Cambria Math"/>
            <w:sz w:val="18"/>
            <w:szCs w:val="18"/>
            <w:lang w:val="en-US"/>
          </w:rPr>
          <m:t>=0</m:t>
        </m:r>
      </m:oMath>
      <w:r w:rsidRPr="00612443">
        <w:rPr>
          <w:rFonts w:ascii="Palatino Linotype" w:hAnsi="Palatino Linotype"/>
          <w:sz w:val="18"/>
          <w:szCs w:val="18"/>
          <w:lang w:val="en-US"/>
        </w:rPr>
        <w:t>.</w:t>
      </w:r>
      <w:r w:rsidRPr="00612443">
        <w:rPr>
          <w:rFonts w:ascii="Palatino Linotype" w:hAnsi="Palatino Linotype"/>
          <w:sz w:val="18"/>
          <w:szCs w:val="18"/>
          <w:lang w:val="en-US"/>
        </w:rPr>
        <w:tab/>
      </w:r>
    </w:p>
    <w:p w:rsidR="00B76EA2" w:rsidRPr="00612443" w:rsidRDefault="00B76EA2" w:rsidP="00B76EA2">
      <w:pPr>
        <w:ind w:firstLine="300"/>
        <w:rPr>
          <w:rFonts w:ascii="Palatino Linotype" w:hAnsi="Palatino Linotype"/>
          <w:sz w:val="22"/>
          <w:szCs w:val="22"/>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 xml:space="preserve">Tables </w:t>
      </w:r>
      <w:r w:rsidR="00D81440">
        <w:rPr>
          <w:rFonts w:ascii="Palatino Linotype" w:hAnsi="Palatino Linotype"/>
          <w:sz w:val="22"/>
          <w:szCs w:val="22"/>
          <w:lang w:val="en-US"/>
        </w:rPr>
        <w:t>7</w:t>
      </w:r>
      <w:r w:rsidR="00D418A3" w:rsidRPr="00612443">
        <w:rPr>
          <w:rFonts w:ascii="Palatino Linotype" w:hAnsi="Palatino Linotype"/>
          <w:sz w:val="22"/>
          <w:szCs w:val="22"/>
          <w:lang w:val="en-US"/>
        </w:rPr>
        <w:t>–</w:t>
      </w:r>
      <w:r w:rsidR="00D81440">
        <w:rPr>
          <w:rFonts w:ascii="Palatino Linotype" w:hAnsi="Palatino Linotype"/>
          <w:sz w:val="22"/>
          <w:szCs w:val="22"/>
          <w:lang w:val="en-US"/>
        </w:rPr>
        <w:t>10</w:t>
      </w:r>
      <w:r w:rsidRPr="00612443">
        <w:rPr>
          <w:rFonts w:ascii="Palatino Linotype" w:hAnsi="Palatino Linotype"/>
          <w:sz w:val="22"/>
          <w:szCs w:val="22"/>
          <w:lang w:val="en-US"/>
        </w:rPr>
        <w:t xml:space="preserve"> </w:t>
      </w:r>
      <w:r w:rsidR="00003CF2" w:rsidRPr="00612443">
        <w:rPr>
          <w:rFonts w:ascii="Palatino Linotype" w:hAnsi="Palatino Linotype"/>
          <w:sz w:val="22"/>
          <w:szCs w:val="22"/>
          <w:lang w:val="en-US"/>
        </w:rPr>
        <w:t xml:space="preserve">provide much stronger results that those shown in </w:t>
      </w:r>
      <w:r w:rsidR="00D418A3" w:rsidRPr="00612443">
        <w:rPr>
          <w:rFonts w:ascii="Palatino Linotype" w:hAnsi="Palatino Linotype"/>
          <w:sz w:val="22"/>
          <w:szCs w:val="22"/>
          <w:lang w:val="en-US"/>
        </w:rPr>
        <w:t>T</w:t>
      </w:r>
      <w:r w:rsidR="00003CF2" w:rsidRPr="00612443">
        <w:rPr>
          <w:rFonts w:ascii="Palatino Linotype" w:hAnsi="Palatino Linotype"/>
          <w:sz w:val="22"/>
          <w:szCs w:val="22"/>
          <w:lang w:val="en-US"/>
        </w:rPr>
        <w:t xml:space="preserve">ables </w:t>
      </w:r>
      <w:r w:rsidR="00D81440">
        <w:rPr>
          <w:rFonts w:ascii="Palatino Linotype" w:hAnsi="Palatino Linotype"/>
          <w:sz w:val="22"/>
          <w:szCs w:val="22"/>
          <w:lang w:val="en-US"/>
        </w:rPr>
        <w:t>3</w:t>
      </w:r>
      <w:r w:rsidR="00D418A3" w:rsidRPr="00612443">
        <w:rPr>
          <w:rFonts w:ascii="Palatino Linotype" w:hAnsi="Palatino Linotype"/>
          <w:sz w:val="22"/>
          <w:szCs w:val="22"/>
          <w:lang w:val="en-US"/>
        </w:rPr>
        <w:t>–</w:t>
      </w:r>
      <w:r w:rsidR="00D81440">
        <w:rPr>
          <w:rFonts w:ascii="Palatino Linotype" w:hAnsi="Palatino Linotype"/>
          <w:sz w:val="22"/>
          <w:szCs w:val="22"/>
          <w:lang w:val="en-US"/>
        </w:rPr>
        <w:t>5</w:t>
      </w:r>
      <w:r w:rsidRPr="00612443">
        <w:rPr>
          <w:rFonts w:ascii="Palatino Linotype" w:hAnsi="Palatino Linotype"/>
          <w:sz w:val="22"/>
          <w:szCs w:val="22"/>
          <w:lang w:val="en-US"/>
        </w:rPr>
        <w:t xml:space="preserve">. </w:t>
      </w:r>
      <w:r w:rsidR="00396E08" w:rsidRPr="00612443">
        <w:rPr>
          <w:rFonts w:ascii="Palatino Linotype" w:hAnsi="Palatino Linotype"/>
          <w:sz w:val="22"/>
          <w:szCs w:val="22"/>
          <w:lang w:val="en-US"/>
        </w:rPr>
        <w:t xml:space="preserve">In particular, </w:t>
      </w:r>
      <w:r w:rsidR="00D418A3" w:rsidRPr="00612443">
        <w:rPr>
          <w:rFonts w:ascii="Palatino Linotype" w:hAnsi="Palatino Linotype"/>
          <w:sz w:val="22"/>
          <w:szCs w:val="22"/>
          <w:lang w:val="en-US"/>
        </w:rPr>
        <w:t>T</w:t>
      </w:r>
      <w:r w:rsidR="00396E08" w:rsidRPr="00612443">
        <w:rPr>
          <w:rFonts w:ascii="Palatino Linotype" w:hAnsi="Palatino Linotype"/>
          <w:sz w:val="22"/>
          <w:szCs w:val="22"/>
          <w:lang w:val="en-US"/>
        </w:rPr>
        <w:t xml:space="preserve">able </w:t>
      </w:r>
      <w:r w:rsidR="00D81440">
        <w:rPr>
          <w:rFonts w:ascii="Palatino Linotype" w:hAnsi="Palatino Linotype"/>
          <w:sz w:val="22"/>
          <w:szCs w:val="22"/>
          <w:lang w:val="en-US"/>
        </w:rPr>
        <w:t>10</w:t>
      </w:r>
      <w:r w:rsidR="00396E08" w:rsidRPr="00612443">
        <w:rPr>
          <w:rFonts w:ascii="Palatino Linotype" w:hAnsi="Palatino Linotype"/>
          <w:sz w:val="22"/>
          <w:szCs w:val="22"/>
          <w:lang w:val="en-US"/>
        </w:rPr>
        <w:t xml:space="preserve"> shows that the 2008 intervention had a significant impact on the center of the distribution of inflation expectations at every single horizon under consideration. The economic significance is also stronger when analyzing the 2008 intervention only. For instance, </w:t>
      </w:r>
      <w:r w:rsidRPr="00612443">
        <w:rPr>
          <w:rFonts w:ascii="Palatino Linotype" w:hAnsi="Palatino Linotype"/>
          <w:sz w:val="22"/>
          <w:szCs w:val="22"/>
          <w:lang w:val="en-US"/>
        </w:rPr>
        <w:t xml:space="preserve">an increment of </w:t>
      </w:r>
      <w:r w:rsidR="00D418A3" w:rsidRPr="00612443">
        <w:rPr>
          <w:rFonts w:ascii="Palatino Linotype" w:hAnsi="Palatino Linotype"/>
          <w:sz w:val="22"/>
          <w:szCs w:val="22"/>
          <w:lang w:val="en-US"/>
        </w:rPr>
        <w:t>$</w:t>
      </w:r>
      <w:r w:rsidRPr="00612443">
        <w:rPr>
          <w:rFonts w:ascii="Palatino Linotype" w:hAnsi="Palatino Linotype"/>
          <w:sz w:val="22"/>
          <w:szCs w:val="22"/>
          <w:lang w:val="en-US"/>
        </w:rPr>
        <w:t xml:space="preserve">1 billion in purchases predicts a raise of 48.6 basis points in </w:t>
      </w:r>
      <w:r w:rsidRPr="00612443">
        <w:rPr>
          <w:rFonts w:ascii="Palatino Linotype" w:hAnsi="Palatino Linotype"/>
          <w:sz w:val="22"/>
          <w:szCs w:val="22"/>
          <w:lang w:val="en-US"/>
        </w:rPr>
        <w:lastRenderedPageBreak/>
        <w:t xml:space="preserve">inflation expectations one year ahead, which is much higher than the 31.3 basis points shown for the same decile in Table </w:t>
      </w:r>
      <w:r w:rsidR="003847E4">
        <w:rPr>
          <w:rFonts w:ascii="Palatino Linotype" w:hAnsi="Palatino Linotype"/>
          <w:sz w:val="22"/>
          <w:szCs w:val="22"/>
          <w:lang w:val="en-US"/>
        </w:rPr>
        <w:t>4</w:t>
      </w:r>
      <w:r w:rsidRPr="00612443">
        <w:rPr>
          <w:rFonts w:ascii="Palatino Linotype" w:hAnsi="Palatino Linotype"/>
          <w:sz w:val="22"/>
          <w:szCs w:val="22"/>
          <w:lang w:val="en-US"/>
        </w:rPr>
        <w:t>.</w:t>
      </w:r>
      <w:r w:rsidR="00396E08" w:rsidRPr="00612443">
        <w:rPr>
          <w:rFonts w:ascii="Palatino Linotype" w:hAnsi="Palatino Linotype"/>
          <w:sz w:val="22"/>
          <w:szCs w:val="22"/>
          <w:lang w:val="en-US"/>
        </w:rPr>
        <w:t xml:space="preserve"> Similarly, </w:t>
      </w:r>
      <w:r w:rsidRPr="00612443">
        <w:rPr>
          <w:rFonts w:ascii="Palatino Linotype" w:hAnsi="Palatino Linotype"/>
          <w:sz w:val="22"/>
          <w:szCs w:val="22"/>
          <w:lang w:val="en-US"/>
        </w:rPr>
        <w:t xml:space="preserve">the maximum impact reported in Table </w:t>
      </w:r>
      <w:r w:rsidR="003847E4">
        <w:rPr>
          <w:rFonts w:ascii="Palatino Linotype" w:hAnsi="Palatino Linotype"/>
          <w:sz w:val="22"/>
          <w:szCs w:val="22"/>
          <w:lang w:val="en-US"/>
        </w:rPr>
        <w:t>5</w:t>
      </w:r>
      <w:r w:rsidRPr="00612443">
        <w:rPr>
          <w:rFonts w:ascii="Palatino Linotype" w:hAnsi="Palatino Linotype"/>
          <w:sz w:val="22"/>
          <w:szCs w:val="22"/>
          <w:lang w:val="en-US"/>
        </w:rPr>
        <w:t xml:space="preserve"> is less tha</w:t>
      </w:r>
      <w:r w:rsidR="00D418A3" w:rsidRPr="00612443">
        <w:rPr>
          <w:rFonts w:ascii="Palatino Linotype" w:hAnsi="Palatino Linotype"/>
          <w:sz w:val="22"/>
          <w:szCs w:val="22"/>
          <w:lang w:val="en-US"/>
        </w:rPr>
        <w:t>n</w:t>
      </w:r>
      <w:r w:rsidRPr="00612443">
        <w:rPr>
          <w:rFonts w:ascii="Palatino Linotype" w:hAnsi="Palatino Linotype"/>
          <w:sz w:val="22"/>
          <w:szCs w:val="22"/>
          <w:lang w:val="en-US"/>
        </w:rPr>
        <w:t xml:space="preserve"> 10 basis points whereas the maximum impact reported in Table </w:t>
      </w:r>
      <w:r w:rsidR="003847E4">
        <w:rPr>
          <w:rFonts w:ascii="Palatino Linotype" w:hAnsi="Palatino Linotype"/>
          <w:sz w:val="22"/>
          <w:szCs w:val="22"/>
          <w:lang w:val="en-US"/>
        </w:rPr>
        <w:t>9</w:t>
      </w:r>
      <w:r w:rsidRPr="00612443">
        <w:rPr>
          <w:rFonts w:ascii="Palatino Linotype" w:hAnsi="Palatino Linotype"/>
          <w:sz w:val="22"/>
          <w:szCs w:val="22"/>
          <w:lang w:val="en-US"/>
        </w:rPr>
        <w:t xml:space="preserve"> is 35 basis points</w:t>
      </w:r>
      <w:r w:rsidR="001603FB" w:rsidRPr="00612443">
        <w:rPr>
          <w:rFonts w:ascii="Palatino Linotype" w:hAnsi="Palatino Linotype"/>
          <w:sz w:val="22"/>
          <w:szCs w:val="22"/>
          <w:lang w:val="en-US"/>
        </w:rPr>
        <w:t xml:space="preserve"> for expectations 2 years ahead</w:t>
      </w:r>
      <w:r w:rsidRPr="00612443">
        <w:rPr>
          <w:rFonts w:ascii="Palatino Linotype" w:hAnsi="Palatino Linotype"/>
          <w:sz w:val="22"/>
          <w:szCs w:val="22"/>
          <w:lang w:val="en-US"/>
        </w:rPr>
        <w:t>.</w:t>
      </w:r>
    </w:p>
    <w:p w:rsidR="0058159B" w:rsidRPr="00612443" w:rsidRDefault="0058159B">
      <w:pPr>
        <w:ind w:firstLine="300"/>
        <w:rPr>
          <w:rFonts w:ascii="Palatino Linotype" w:hAnsi="Palatino Linotype"/>
          <w:sz w:val="22"/>
          <w:szCs w:val="22"/>
          <w:lang w:val="en-US"/>
        </w:rPr>
      </w:pPr>
    </w:p>
    <w:p w:rsidR="00B9068F"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 xml:space="preserve">In sharp contrast with the remarkable results reported in Tables </w:t>
      </w:r>
      <w:r w:rsidR="003847E4">
        <w:rPr>
          <w:rFonts w:ascii="Palatino Linotype" w:hAnsi="Palatino Linotype"/>
          <w:sz w:val="22"/>
          <w:szCs w:val="22"/>
          <w:lang w:val="en-US"/>
        </w:rPr>
        <w:t>7</w:t>
      </w:r>
      <w:r w:rsidR="00D418A3" w:rsidRPr="00612443">
        <w:rPr>
          <w:rFonts w:ascii="Palatino Linotype" w:hAnsi="Palatino Linotype"/>
          <w:sz w:val="22"/>
          <w:szCs w:val="22"/>
          <w:lang w:val="en-US"/>
        </w:rPr>
        <w:t>–</w:t>
      </w:r>
      <w:r w:rsidR="003847E4">
        <w:rPr>
          <w:rFonts w:ascii="Palatino Linotype" w:hAnsi="Palatino Linotype"/>
          <w:sz w:val="22"/>
          <w:szCs w:val="22"/>
          <w:lang w:val="en-US"/>
        </w:rPr>
        <w:t>10</w:t>
      </w:r>
      <w:r w:rsidRPr="00612443">
        <w:rPr>
          <w:rFonts w:ascii="Palatino Linotype" w:hAnsi="Palatino Linotype"/>
          <w:sz w:val="22"/>
          <w:szCs w:val="22"/>
          <w:lang w:val="en-US"/>
        </w:rPr>
        <w:t xml:space="preserve">, Tables </w:t>
      </w:r>
      <w:r w:rsidR="003847E4">
        <w:rPr>
          <w:rFonts w:ascii="Palatino Linotype" w:hAnsi="Palatino Linotype"/>
          <w:sz w:val="22"/>
          <w:szCs w:val="22"/>
          <w:lang w:val="en-US"/>
        </w:rPr>
        <w:t>11</w:t>
      </w:r>
      <w:r w:rsidR="00D418A3" w:rsidRPr="00612443">
        <w:rPr>
          <w:rFonts w:ascii="Palatino Linotype" w:hAnsi="Palatino Linotype"/>
          <w:sz w:val="22"/>
          <w:szCs w:val="22"/>
          <w:lang w:val="en-US"/>
        </w:rPr>
        <w:t>–</w:t>
      </w:r>
      <w:r w:rsidR="00483258" w:rsidRPr="00612443">
        <w:rPr>
          <w:rFonts w:ascii="Palatino Linotype" w:hAnsi="Palatino Linotype"/>
          <w:sz w:val="22"/>
          <w:szCs w:val="22"/>
          <w:lang w:val="en-US"/>
        </w:rPr>
        <w:t>1</w:t>
      </w:r>
      <w:r w:rsidR="003847E4">
        <w:rPr>
          <w:rFonts w:ascii="Palatino Linotype" w:hAnsi="Palatino Linotype"/>
          <w:sz w:val="22"/>
          <w:szCs w:val="22"/>
          <w:lang w:val="en-US"/>
        </w:rPr>
        <w:t>3</w:t>
      </w:r>
      <w:r w:rsidRPr="00612443">
        <w:rPr>
          <w:rFonts w:ascii="Palatino Linotype" w:hAnsi="Palatino Linotype"/>
          <w:sz w:val="22"/>
          <w:szCs w:val="22"/>
          <w:lang w:val="en-US"/>
        </w:rPr>
        <w:t xml:space="preserve"> show figures indicating that the intervention carried out in 2011 </w:t>
      </w:r>
      <w:r w:rsidR="00D418A3" w:rsidRPr="00612443">
        <w:rPr>
          <w:rFonts w:ascii="Palatino Linotype" w:hAnsi="Palatino Linotype"/>
          <w:sz w:val="22"/>
          <w:szCs w:val="22"/>
          <w:lang w:val="en-US"/>
        </w:rPr>
        <w:t xml:space="preserve">had little </w:t>
      </w:r>
      <w:r w:rsidRPr="00612443">
        <w:rPr>
          <w:rFonts w:ascii="Palatino Linotype" w:hAnsi="Palatino Linotype"/>
          <w:sz w:val="22"/>
          <w:szCs w:val="22"/>
          <w:lang w:val="en-US"/>
        </w:rPr>
        <w:t>effect on the distribution of inflation expectations. In fact, the only statistically significant figure reported in these tables correspond</w:t>
      </w:r>
      <w:r w:rsidR="00D418A3" w:rsidRPr="00612443">
        <w:rPr>
          <w:rFonts w:ascii="Palatino Linotype" w:hAnsi="Palatino Linotype"/>
          <w:sz w:val="22"/>
          <w:szCs w:val="22"/>
          <w:lang w:val="en-US"/>
        </w:rPr>
        <w:t>s</w:t>
      </w:r>
      <w:r w:rsidRPr="00612443">
        <w:rPr>
          <w:rFonts w:ascii="Palatino Linotype" w:hAnsi="Palatino Linotype"/>
          <w:sz w:val="22"/>
          <w:szCs w:val="22"/>
          <w:lang w:val="en-US"/>
        </w:rPr>
        <w:t xml:space="preserve"> to the impact of the interventions on the ninth decile of the distribution of inflation expectations one year ahead. For the rest of the deciles and expectations horizons, no statistically significant impact is detected whatsoever. </w:t>
      </w:r>
      <w:r w:rsidR="00396E08" w:rsidRPr="00612443">
        <w:rPr>
          <w:rFonts w:ascii="Palatino Linotype" w:hAnsi="Palatino Linotype"/>
          <w:sz w:val="22"/>
          <w:szCs w:val="22"/>
          <w:lang w:val="en-US"/>
        </w:rPr>
        <w:t>The joint tests r</w:t>
      </w:r>
      <w:r w:rsidR="00B9068F" w:rsidRPr="00612443">
        <w:rPr>
          <w:rFonts w:ascii="Palatino Linotype" w:hAnsi="Palatino Linotype"/>
          <w:sz w:val="22"/>
          <w:szCs w:val="22"/>
          <w:lang w:val="en-US"/>
        </w:rPr>
        <w:t>eported in Table 1</w:t>
      </w:r>
      <w:r w:rsidR="003847E4">
        <w:rPr>
          <w:rFonts w:ascii="Palatino Linotype" w:hAnsi="Palatino Linotype"/>
          <w:sz w:val="22"/>
          <w:szCs w:val="22"/>
          <w:lang w:val="en-US"/>
        </w:rPr>
        <w:t>4</w:t>
      </w:r>
      <w:r w:rsidR="00B9068F" w:rsidRPr="00612443">
        <w:rPr>
          <w:rFonts w:ascii="Palatino Linotype" w:hAnsi="Palatino Linotype"/>
          <w:sz w:val="22"/>
          <w:szCs w:val="22"/>
          <w:lang w:val="en-US"/>
        </w:rPr>
        <w:t xml:space="preserve"> corroborate these findings.</w:t>
      </w:r>
    </w:p>
    <w:p w:rsidR="00B9068F" w:rsidRPr="00612443" w:rsidRDefault="00B9068F">
      <w:pPr>
        <w:ind w:firstLine="300"/>
        <w:rPr>
          <w:rFonts w:ascii="Palatino Linotype" w:hAnsi="Palatino Linotype"/>
          <w:sz w:val="22"/>
          <w:szCs w:val="22"/>
          <w:lang w:val="en-US"/>
        </w:rPr>
      </w:pPr>
    </w:p>
    <w:p w:rsidR="00B9068F" w:rsidRPr="00612443" w:rsidRDefault="00B9068F">
      <w:pPr>
        <w:ind w:firstLine="300"/>
        <w:rPr>
          <w:rFonts w:ascii="Palatino Linotype" w:hAnsi="Palatino Linotype"/>
          <w:sz w:val="22"/>
          <w:szCs w:val="22"/>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BD59ED" w:rsidRPr="00612443" w:rsidTr="0049257F">
        <w:tc>
          <w:tcPr>
            <w:tcW w:w="8978" w:type="dxa"/>
            <w:vAlign w:val="center"/>
          </w:tcPr>
          <w:p w:rsidR="00BD59ED" w:rsidRPr="00612443" w:rsidRDefault="00BD59ED" w:rsidP="0049257F">
            <w:pPr>
              <w:jc w:val="center"/>
              <w:rPr>
                <w:rFonts w:ascii="Palatino Linotype" w:hAnsi="Palatino Linotype"/>
                <w:szCs w:val="22"/>
                <w:lang w:val="en-US"/>
              </w:rPr>
            </w:pPr>
            <w:r w:rsidRPr="00612443">
              <w:rPr>
                <w:rFonts w:ascii="Palatino Linotype" w:hAnsi="Palatino Linotype"/>
                <w:szCs w:val="22"/>
                <w:lang w:val="en-US"/>
              </w:rPr>
              <w:t xml:space="preserve">Table </w:t>
            </w:r>
            <w:r w:rsidR="003847E4">
              <w:rPr>
                <w:rFonts w:ascii="Palatino Linotype" w:hAnsi="Palatino Linotype"/>
                <w:szCs w:val="22"/>
                <w:lang w:val="en-US"/>
              </w:rPr>
              <w:t>11</w:t>
            </w:r>
            <w:r w:rsidRPr="00612443">
              <w:rPr>
                <w:rFonts w:ascii="Palatino Linotype" w:hAnsi="Palatino Linotype"/>
                <w:szCs w:val="22"/>
                <w:lang w:val="en-US"/>
              </w:rPr>
              <w:t xml:space="preserve">: The </w:t>
            </w:r>
            <w:r w:rsidR="00D418A3" w:rsidRPr="00612443">
              <w:rPr>
                <w:rFonts w:ascii="Palatino Linotype" w:hAnsi="Palatino Linotype"/>
                <w:szCs w:val="22"/>
                <w:lang w:val="en-US"/>
              </w:rPr>
              <w:t>2011 intervention impact on the distribution of inflation expectations</w:t>
            </w:r>
          </w:p>
          <w:p w:rsidR="00BD59ED" w:rsidRPr="00612443" w:rsidRDefault="00BD59ED" w:rsidP="00D418A3">
            <w:pPr>
              <w:jc w:val="center"/>
              <w:rPr>
                <w:rFonts w:ascii="Palatino Linotype" w:hAnsi="Palatino Linotype"/>
                <w:szCs w:val="22"/>
                <w:lang w:val="en-US"/>
              </w:rPr>
            </w:pPr>
            <w:r w:rsidRPr="00612443">
              <w:rPr>
                <w:rFonts w:ascii="Palatino Linotype" w:hAnsi="Palatino Linotype"/>
                <w:szCs w:val="22"/>
                <w:lang w:val="en-US"/>
              </w:rPr>
              <w:t xml:space="preserve">Granger </w:t>
            </w:r>
            <w:r w:rsidR="00D418A3" w:rsidRPr="00612443">
              <w:rPr>
                <w:rFonts w:ascii="Palatino Linotype" w:hAnsi="Palatino Linotype"/>
                <w:szCs w:val="22"/>
                <w:lang w:val="en-US"/>
              </w:rPr>
              <w:t xml:space="preserve">causality analysis </w:t>
            </w:r>
            <w:r w:rsidRPr="00612443">
              <w:rPr>
                <w:rFonts w:ascii="Palatino Linotype" w:hAnsi="Palatino Linotype"/>
                <w:szCs w:val="22"/>
                <w:lang w:val="en-US"/>
              </w:rPr>
              <w:t xml:space="preserve">with SUR, </w:t>
            </w:r>
            <w:r w:rsidR="00D418A3" w:rsidRPr="00612443">
              <w:rPr>
                <w:rFonts w:ascii="Palatino Linotype" w:hAnsi="Palatino Linotype"/>
                <w:szCs w:val="22"/>
                <w:lang w:val="en-US"/>
              </w:rPr>
              <w:t>expectations one month ahead</w:t>
            </w:r>
            <w:r w:rsidRPr="00612443">
              <w:rPr>
                <w:rFonts w:ascii="Palatino Linotype" w:hAnsi="Palatino Linotype"/>
                <w:szCs w:val="22"/>
                <w:lang w:val="en-US"/>
              </w:rPr>
              <w:t>, (</w:t>
            </w:r>
            <w:r w:rsidR="0049257F" w:rsidRPr="00612443">
              <w:rPr>
                <w:rFonts w:ascii="Palatino Linotype" w:hAnsi="Palatino Linotype"/>
                <w:position w:val="-12"/>
                <w:szCs w:val="22"/>
                <w:lang w:val="en-US"/>
              </w:rPr>
              <w:object w:dxaOrig="400" w:dyaOrig="380">
                <v:shape id="_x0000_i1047" type="#_x0000_t75" style="width:20.25pt;height:18.75pt" o:ole="">
                  <v:imagedata r:id="rId68" o:title=""/>
                </v:shape>
                <o:OLEObject Type="Embed" ProgID="Equation.DSMT4" ShapeID="_x0000_i1047" DrawAspect="Content" ObjectID="_1552495483" r:id="rId69"/>
              </w:object>
            </w:r>
            <w:r w:rsidRPr="00612443">
              <w:rPr>
                <w:rFonts w:ascii="Palatino Linotype" w:hAnsi="Palatino Linotype"/>
                <w:szCs w:val="22"/>
                <w:lang w:val="en-US"/>
              </w:rPr>
              <w:t>)</w:t>
            </w:r>
          </w:p>
        </w:tc>
      </w:tr>
      <w:tr w:rsidR="00BD59ED" w:rsidRPr="00612443" w:rsidTr="0049257F">
        <w:tc>
          <w:tcPr>
            <w:tcW w:w="8978" w:type="dxa"/>
            <w:vAlign w:val="center"/>
          </w:tcPr>
          <w:p w:rsidR="00BD59ED" w:rsidRPr="00612443" w:rsidRDefault="00BD59ED" w:rsidP="0049257F">
            <w:pPr>
              <w:jc w:val="center"/>
              <w:rPr>
                <w:rFonts w:ascii="Palatino Linotype" w:hAnsi="Palatino Linotype"/>
                <w:szCs w:val="22"/>
                <w:lang w:val="en-US"/>
              </w:rPr>
            </w:pPr>
            <w:r w:rsidRPr="00612443">
              <w:rPr>
                <w:rFonts w:ascii="Palatino Linotype" w:hAnsi="Palatino Linotype"/>
                <w:szCs w:val="22"/>
                <w:lang w:val="en-US" w:eastAsia="en-US"/>
              </w:rPr>
              <w:drawing>
                <wp:inline distT="0" distB="0" distL="0" distR="0" wp14:anchorId="11EDFF88" wp14:editId="7270C165">
                  <wp:extent cx="4495770" cy="1680150"/>
                  <wp:effectExtent l="19050" t="0" r="30" b="0"/>
                  <wp:docPr id="16" name="15 Imagen" descr="Table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7.wmf"/>
                          <pic:cNvPicPr/>
                        </pic:nvPicPr>
                        <pic:blipFill>
                          <a:blip r:embed="rId70"/>
                          <a:stretch>
                            <a:fillRect/>
                          </a:stretch>
                        </pic:blipFill>
                        <pic:spPr>
                          <a:xfrm>
                            <a:off x="0" y="0"/>
                            <a:ext cx="4495770" cy="1680150"/>
                          </a:xfrm>
                          <a:prstGeom prst="rect">
                            <a:avLst/>
                          </a:prstGeom>
                        </pic:spPr>
                      </pic:pic>
                    </a:graphicData>
                  </a:graphic>
                </wp:inline>
              </w:drawing>
            </w:r>
          </w:p>
        </w:tc>
      </w:tr>
      <w:tr w:rsidR="00BD59ED" w:rsidRPr="00612443" w:rsidTr="0049257F">
        <w:tc>
          <w:tcPr>
            <w:tcW w:w="8978" w:type="dxa"/>
            <w:vAlign w:val="center"/>
          </w:tcPr>
          <w:p w:rsidR="00BD59ED" w:rsidRPr="00612443" w:rsidRDefault="00BD59ED" w:rsidP="0049257F">
            <w:pPr>
              <w:jc w:val="center"/>
              <w:rPr>
                <w:rFonts w:ascii="Palatino Linotype" w:hAnsi="Palatino Linotype"/>
                <w:szCs w:val="22"/>
                <w:lang w:val="en-US"/>
              </w:rPr>
            </w:pPr>
          </w:p>
          <w:p w:rsidR="00B9068F" w:rsidRPr="00612443" w:rsidRDefault="00B9068F" w:rsidP="0049257F">
            <w:pPr>
              <w:jc w:val="center"/>
              <w:rPr>
                <w:rFonts w:ascii="Palatino Linotype" w:hAnsi="Palatino Linotype"/>
                <w:szCs w:val="22"/>
                <w:lang w:val="en-US"/>
              </w:rPr>
            </w:pPr>
          </w:p>
          <w:p w:rsidR="00B9068F" w:rsidRPr="00612443" w:rsidRDefault="00B9068F" w:rsidP="0049257F">
            <w:pPr>
              <w:jc w:val="center"/>
              <w:rPr>
                <w:rFonts w:ascii="Palatino Linotype" w:hAnsi="Palatino Linotype"/>
                <w:szCs w:val="22"/>
                <w:lang w:val="en-US"/>
              </w:rPr>
            </w:pPr>
          </w:p>
          <w:p w:rsidR="00B9068F" w:rsidRPr="00612443" w:rsidRDefault="00B9068F" w:rsidP="0049257F">
            <w:pPr>
              <w:jc w:val="center"/>
              <w:rPr>
                <w:rFonts w:ascii="Palatino Linotype" w:hAnsi="Palatino Linotype"/>
                <w:szCs w:val="22"/>
                <w:lang w:val="en-US"/>
              </w:rPr>
            </w:pPr>
          </w:p>
          <w:p w:rsidR="00BD59ED" w:rsidRPr="00612443" w:rsidRDefault="00BD59ED" w:rsidP="0049257F">
            <w:pPr>
              <w:jc w:val="center"/>
              <w:rPr>
                <w:rFonts w:ascii="Palatino Linotype" w:hAnsi="Palatino Linotype"/>
                <w:szCs w:val="22"/>
                <w:lang w:val="en-US"/>
              </w:rPr>
            </w:pPr>
            <w:r w:rsidRPr="00612443">
              <w:rPr>
                <w:rFonts w:ascii="Palatino Linotype" w:hAnsi="Palatino Linotype"/>
                <w:szCs w:val="22"/>
                <w:lang w:val="en-US"/>
              </w:rPr>
              <w:t xml:space="preserve">Table </w:t>
            </w:r>
            <w:r w:rsidR="00483258" w:rsidRPr="00612443">
              <w:rPr>
                <w:rFonts w:ascii="Palatino Linotype" w:hAnsi="Palatino Linotype"/>
                <w:szCs w:val="22"/>
                <w:lang w:val="en-US"/>
              </w:rPr>
              <w:t>1</w:t>
            </w:r>
            <w:r w:rsidR="003847E4">
              <w:rPr>
                <w:rFonts w:ascii="Palatino Linotype" w:hAnsi="Palatino Linotype"/>
                <w:szCs w:val="22"/>
                <w:lang w:val="en-US"/>
              </w:rPr>
              <w:t>2</w:t>
            </w:r>
            <w:r w:rsidRPr="00612443">
              <w:rPr>
                <w:rFonts w:ascii="Palatino Linotype" w:hAnsi="Palatino Linotype"/>
                <w:szCs w:val="22"/>
                <w:lang w:val="en-US"/>
              </w:rPr>
              <w:t xml:space="preserve">: The 2011 </w:t>
            </w:r>
            <w:r w:rsidR="00D418A3" w:rsidRPr="00612443">
              <w:rPr>
                <w:rFonts w:ascii="Palatino Linotype" w:hAnsi="Palatino Linotype"/>
                <w:szCs w:val="22"/>
                <w:lang w:val="en-US"/>
              </w:rPr>
              <w:t>intervention impact on the distribution of inflation expectations</w:t>
            </w:r>
          </w:p>
          <w:p w:rsidR="00BD59ED" w:rsidRPr="00612443" w:rsidRDefault="00BD59ED" w:rsidP="0049257F">
            <w:pPr>
              <w:jc w:val="center"/>
              <w:rPr>
                <w:rFonts w:ascii="Palatino Linotype" w:hAnsi="Palatino Linotype"/>
                <w:szCs w:val="22"/>
                <w:lang w:val="en-US"/>
              </w:rPr>
            </w:pPr>
            <w:r w:rsidRPr="00612443">
              <w:rPr>
                <w:rFonts w:ascii="Palatino Linotype" w:hAnsi="Palatino Linotype"/>
                <w:szCs w:val="22"/>
                <w:lang w:val="en-US"/>
              </w:rPr>
              <w:t xml:space="preserve">Granger </w:t>
            </w:r>
            <w:r w:rsidR="00D418A3" w:rsidRPr="00612443">
              <w:rPr>
                <w:rFonts w:ascii="Palatino Linotype" w:hAnsi="Palatino Linotype"/>
                <w:szCs w:val="22"/>
                <w:lang w:val="en-US"/>
              </w:rPr>
              <w:t xml:space="preserve">causality analysis </w:t>
            </w:r>
            <w:r w:rsidRPr="00612443">
              <w:rPr>
                <w:rFonts w:ascii="Palatino Linotype" w:hAnsi="Palatino Linotype"/>
                <w:szCs w:val="22"/>
                <w:lang w:val="en-US"/>
              </w:rPr>
              <w:t xml:space="preserve">with SUR, </w:t>
            </w:r>
            <w:r w:rsidR="00D418A3" w:rsidRPr="00612443">
              <w:rPr>
                <w:rFonts w:ascii="Palatino Linotype" w:hAnsi="Palatino Linotype"/>
                <w:szCs w:val="22"/>
                <w:lang w:val="en-US"/>
              </w:rPr>
              <w:t>expectations 12 months ahead</w:t>
            </w:r>
            <w:r w:rsidRPr="00612443">
              <w:rPr>
                <w:rFonts w:ascii="Palatino Linotype" w:hAnsi="Palatino Linotype"/>
                <w:szCs w:val="22"/>
                <w:lang w:val="en-US"/>
              </w:rPr>
              <w:t>, (</w:t>
            </w:r>
            <w:r w:rsidR="0049257F" w:rsidRPr="00612443">
              <w:rPr>
                <w:rFonts w:ascii="Palatino Linotype" w:hAnsi="Palatino Linotype"/>
                <w:position w:val="-12"/>
                <w:szCs w:val="22"/>
                <w:lang w:val="en-US"/>
              </w:rPr>
              <w:object w:dxaOrig="400" w:dyaOrig="380">
                <v:shape id="_x0000_i1048" type="#_x0000_t75" style="width:20.25pt;height:18.75pt" o:ole="">
                  <v:imagedata r:id="rId71" o:title=""/>
                </v:shape>
                <o:OLEObject Type="Embed" ProgID="Equation.DSMT4" ShapeID="_x0000_i1048" DrawAspect="Content" ObjectID="_1552495484" r:id="rId72"/>
              </w:object>
            </w:r>
            <w:r w:rsidRPr="00612443">
              <w:rPr>
                <w:rFonts w:ascii="Palatino Linotype" w:hAnsi="Palatino Linotype"/>
                <w:szCs w:val="22"/>
                <w:lang w:val="en-US"/>
              </w:rPr>
              <w:t>)</w:t>
            </w:r>
          </w:p>
        </w:tc>
      </w:tr>
      <w:tr w:rsidR="00BD59ED" w:rsidRPr="00612443" w:rsidTr="0049257F">
        <w:tc>
          <w:tcPr>
            <w:tcW w:w="8978" w:type="dxa"/>
            <w:vAlign w:val="center"/>
          </w:tcPr>
          <w:p w:rsidR="00BD59ED" w:rsidRPr="00612443" w:rsidRDefault="00BD59ED" w:rsidP="0049257F">
            <w:pPr>
              <w:jc w:val="center"/>
              <w:rPr>
                <w:rFonts w:ascii="Palatino Linotype" w:hAnsi="Palatino Linotype"/>
                <w:szCs w:val="22"/>
                <w:lang w:val="en-US"/>
              </w:rPr>
            </w:pPr>
            <w:r w:rsidRPr="00612443">
              <w:rPr>
                <w:rFonts w:ascii="Palatino Linotype" w:hAnsi="Palatino Linotype"/>
                <w:szCs w:val="22"/>
                <w:lang w:val="en-US" w:eastAsia="en-US"/>
              </w:rPr>
              <w:drawing>
                <wp:inline distT="0" distB="0" distL="0" distR="0" wp14:anchorId="5AD68D04" wp14:editId="73ECB0EF">
                  <wp:extent cx="4495770" cy="1680150"/>
                  <wp:effectExtent l="19050" t="0" r="30" b="0"/>
                  <wp:docPr id="17" name="16 Imagen" descr="Table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8.wmf"/>
                          <pic:cNvPicPr/>
                        </pic:nvPicPr>
                        <pic:blipFill>
                          <a:blip r:embed="rId73"/>
                          <a:stretch>
                            <a:fillRect/>
                          </a:stretch>
                        </pic:blipFill>
                        <pic:spPr>
                          <a:xfrm>
                            <a:off x="0" y="0"/>
                            <a:ext cx="4495770" cy="1680150"/>
                          </a:xfrm>
                          <a:prstGeom prst="rect">
                            <a:avLst/>
                          </a:prstGeom>
                        </pic:spPr>
                      </pic:pic>
                    </a:graphicData>
                  </a:graphic>
                </wp:inline>
              </w:drawing>
            </w:r>
          </w:p>
        </w:tc>
      </w:tr>
      <w:tr w:rsidR="00BD59ED" w:rsidRPr="00612443" w:rsidTr="0049257F">
        <w:tc>
          <w:tcPr>
            <w:tcW w:w="8978" w:type="dxa"/>
            <w:vAlign w:val="center"/>
          </w:tcPr>
          <w:p w:rsidR="00BD59ED" w:rsidRPr="00612443" w:rsidRDefault="00BD59ED" w:rsidP="0049257F">
            <w:pPr>
              <w:jc w:val="center"/>
              <w:rPr>
                <w:rFonts w:ascii="Palatino Linotype" w:hAnsi="Palatino Linotype"/>
                <w:szCs w:val="22"/>
                <w:lang w:val="en-US"/>
              </w:rPr>
            </w:pPr>
          </w:p>
          <w:p w:rsidR="00BD59ED" w:rsidRPr="00612443" w:rsidRDefault="00BD59ED" w:rsidP="0049257F">
            <w:pPr>
              <w:jc w:val="center"/>
              <w:rPr>
                <w:rFonts w:ascii="Palatino Linotype" w:hAnsi="Palatino Linotype"/>
                <w:szCs w:val="22"/>
                <w:lang w:val="en-US"/>
              </w:rPr>
            </w:pPr>
          </w:p>
          <w:p w:rsidR="00B9068F" w:rsidRPr="00612443" w:rsidRDefault="00B9068F" w:rsidP="0049257F">
            <w:pPr>
              <w:jc w:val="center"/>
              <w:rPr>
                <w:rFonts w:ascii="Palatino Linotype" w:hAnsi="Palatino Linotype"/>
                <w:szCs w:val="22"/>
                <w:lang w:val="en-US"/>
              </w:rPr>
            </w:pPr>
          </w:p>
          <w:p w:rsidR="00BD59ED" w:rsidRPr="00612443" w:rsidRDefault="00BD59ED" w:rsidP="0049257F">
            <w:pPr>
              <w:jc w:val="center"/>
              <w:rPr>
                <w:rFonts w:ascii="Palatino Linotype" w:hAnsi="Palatino Linotype"/>
                <w:szCs w:val="22"/>
                <w:lang w:val="en-US"/>
              </w:rPr>
            </w:pPr>
          </w:p>
          <w:p w:rsidR="00BD59ED" w:rsidRPr="00612443" w:rsidRDefault="00BD59ED" w:rsidP="0049257F">
            <w:pPr>
              <w:jc w:val="center"/>
              <w:rPr>
                <w:rFonts w:ascii="Palatino Linotype" w:hAnsi="Palatino Linotype"/>
                <w:szCs w:val="22"/>
                <w:lang w:val="en-US"/>
              </w:rPr>
            </w:pPr>
            <w:r w:rsidRPr="00612443">
              <w:rPr>
                <w:rFonts w:ascii="Palatino Linotype" w:hAnsi="Palatino Linotype"/>
                <w:szCs w:val="22"/>
                <w:lang w:val="en-US"/>
              </w:rPr>
              <w:lastRenderedPageBreak/>
              <w:t xml:space="preserve">Table </w:t>
            </w:r>
            <w:r w:rsidR="00483258" w:rsidRPr="00612443">
              <w:rPr>
                <w:rFonts w:ascii="Palatino Linotype" w:hAnsi="Palatino Linotype"/>
                <w:szCs w:val="22"/>
                <w:lang w:val="en-US"/>
              </w:rPr>
              <w:t>1</w:t>
            </w:r>
            <w:r w:rsidR="003847E4">
              <w:rPr>
                <w:rFonts w:ascii="Palatino Linotype" w:hAnsi="Palatino Linotype"/>
                <w:szCs w:val="22"/>
                <w:lang w:val="en-US"/>
              </w:rPr>
              <w:t>3</w:t>
            </w:r>
            <w:r w:rsidRPr="00612443">
              <w:rPr>
                <w:rFonts w:ascii="Palatino Linotype" w:hAnsi="Palatino Linotype"/>
                <w:szCs w:val="22"/>
                <w:lang w:val="en-US"/>
              </w:rPr>
              <w:t xml:space="preserve">: The 2011 </w:t>
            </w:r>
            <w:r w:rsidR="00D418A3" w:rsidRPr="00612443">
              <w:rPr>
                <w:rFonts w:ascii="Palatino Linotype" w:hAnsi="Palatino Linotype"/>
                <w:szCs w:val="22"/>
                <w:lang w:val="en-US"/>
              </w:rPr>
              <w:t>intervention impact on the distribution of inflation expectations</w:t>
            </w:r>
          </w:p>
          <w:p w:rsidR="00BD59ED" w:rsidRPr="00612443" w:rsidRDefault="00BD59ED" w:rsidP="0049257F">
            <w:pPr>
              <w:jc w:val="center"/>
              <w:rPr>
                <w:rFonts w:ascii="Palatino Linotype" w:hAnsi="Palatino Linotype"/>
                <w:szCs w:val="22"/>
                <w:lang w:val="en-US"/>
              </w:rPr>
            </w:pPr>
            <w:r w:rsidRPr="00612443">
              <w:rPr>
                <w:rFonts w:ascii="Palatino Linotype" w:hAnsi="Palatino Linotype"/>
                <w:szCs w:val="22"/>
                <w:lang w:val="en-US"/>
              </w:rPr>
              <w:t xml:space="preserve">Granger </w:t>
            </w:r>
            <w:r w:rsidR="00D418A3" w:rsidRPr="00612443">
              <w:rPr>
                <w:rFonts w:ascii="Palatino Linotype" w:hAnsi="Palatino Linotype"/>
                <w:szCs w:val="22"/>
                <w:lang w:val="en-US"/>
              </w:rPr>
              <w:t xml:space="preserve">causality analysis with </w:t>
            </w:r>
            <w:r w:rsidRPr="00612443">
              <w:rPr>
                <w:rFonts w:ascii="Palatino Linotype" w:hAnsi="Palatino Linotype"/>
                <w:szCs w:val="22"/>
                <w:lang w:val="en-US"/>
              </w:rPr>
              <w:t xml:space="preserve">SUR, </w:t>
            </w:r>
            <w:r w:rsidR="00D418A3" w:rsidRPr="00612443">
              <w:rPr>
                <w:rFonts w:ascii="Palatino Linotype" w:hAnsi="Palatino Linotype"/>
                <w:szCs w:val="22"/>
                <w:lang w:val="en-US"/>
              </w:rPr>
              <w:t>expectations 24 months ahead</w:t>
            </w:r>
            <w:r w:rsidRPr="00612443">
              <w:rPr>
                <w:rFonts w:ascii="Palatino Linotype" w:hAnsi="Palatino Linotype"/>
                <w:szCs w:val="22"/>
                <w:lang w:val="en-US"/>
              </w:rPr>
              <w:t>, (</w:t>
            </w:r>
            <w:r w:rsidR="0049257F" w:rsidRPr="00612443">
              <w:rPr>
                <w:rFonts w:ascii="Palatino Linotype" w:hAnsi="Palatino Linotype"/>
                <w:position w:val="-12"/>
                <w:szCs w:val="22"/>
                <w:lang w:val="en-US"/>
              </w:rPr>
              <w:object w:dxaOrig="400" w:dyaOrig="380">
                <v:shape id="_x0000_i1049" type="#_x0000_t75" style="width:20.25pt;height:18.75pt" o:ole="">
                  <v:imagedata r:id="rId74" o:title=""/>
                </v:shape>
                <o:OLEObject Type="Embed" ProgID="Equation.DSMT4" ShapeID="_x0000_i1049" DrawAspect="Content" ObjectID="_1552495485" r:id="rId75"/>
              </w:object>
            </w:r>
            <w:r w:rsidRPr="00612443">
              <w:rPr>
                <w:rFonts w:ascii="Palatino Linotype" w:hAnsi="Palatino Linotype"/>
                <w:szCs w:val="22"/>
                <w:lang w:val="en-US"/>
              </w:rPr>
              <w:t>)</w:t>
            </w:r>
          </w:p>
        </w:tc>
      </w:tr>
      <w:tr w:rsidR="00BD59ED" w:rsidRPr="00612443" w:rsidTr="0049257F">
        <w:tc>
          <w:tcPr>
            <w:tcW w:w="8978" w:type="dxa"/>
            <w:vAlign w:val="center"/>
          </w:tcPr>
          <w:p w:rsidR="00BD59ED" w:rsidRPr="00612443" w:rsidRDefault="00BD59ED" w:rsidP="0049257F">
            <w:pPr>
              <w:jc w:val="center"/>
              <w:rPr>
                <w:rFonts w:ascii="Palatino Linotype" w:hAnsi="Palatino Linotype"/>
                <w:szCs w:val="22"/>
                <w:lang w:val="en-US"/>
              </w:rPr>
            </w:pPr>
            <w:r w:rsidRPr="00612443">
              <w:rPr>
                <w:rFonts w:ascii="Palatino Linotype" w:hAnsi="Palatino Linotype"/>
                <w:szCs w:val="22"/>
                <w:lang w:val="en-US" w:eastAsia="en-US"/>
              </w:rPr>
              <w:lastRenderedPageBreak/>
              <w:drawing>
                <wp:inline distT="0" distB="0" distL="0" distR="0" wp14:anchorId="5E978FF2" wp14:editId="777A11CD">
                  <wp:extent cx="4495770" cy="1680150"/>
                  <wp:effectExtent l="19050" t="0" r="30" b="0"/>
                  <wp:docPr id="18" name="17 Imagen" descr="Table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9.wmf"/>
                          <pic:cNvPicPr/>
                        </pic:nvPicPr>
                        <pic:blipFill>
                          <a:blip r:embed="rId76"/>
                          <a:stretch>
                            <a:fillRect/>
                          </a:stretch>
                        </pic:blipFill>
                        <pic:spPr>
                          <a:xfrm>
                            <a:off x="0" y="0"/>
                            <a:ext cx="4495770" cy="1680150"/>
                          </a:xfrm>
                          <a:prstGeom prst="rect">
                            <a:avLst/>
                          </a:prstGeom>
                        </pic:spPr>
                      </pic:pic>
                    </a:graphicData>
                  </a:graphic>
                </wp:inline>
              </w:drawing>
            </w:r>
          </w:p>
          <w:p w:rsidR="00483258" w:rsidRPr="00612443" w:rsidRDefault="00483258" w:rsidP="0049257F">
            <w:pPr>
              <w:jc w:val="center"/>
              <w:rPr>
                <w:rFonts w:ascii="Palatino Linotype" w:hAnsi="Palatino Linotype"/>
                <w:szCs w:val="22"/>
                <w:lang w:val="en-US"/>
              </w:rPr>
            </w:pPr>
          </w:p>
          <w:p w:rsidR="00483258" w:rsidRPr="00612443" w:rsidRDefault="00483258" w:rsidP="0049257F">
            <w:pPr>
              <w:jc w:val="center"/>
              <w:rPr>
                <w:rFonts w:ascii="Palatino Linotype" w:hAnsi="Palatino Linotype"/>
                <w:szCs w:val="22"/>
                <w:lang w:val="en-US"/>
              </w:rPr>
            </w:pPr>
          </w:p>
          <w:p w:rsidR="00B9068F" w:rsidRPr="00612443" w:rsidRDefault="00B9068F" w:rsidP="00483258">
            <w:pPr>
              <w:jc w:val="center"/>
              <w:rPr>
                <w:rFonts w:ascii="Palatino Linotype" w:hAnsi="Palatino Linotype"/>
                <w:lang w:val="en-US"/>
              </w:rPr>
            </w:pPr>
          </w:p>
          <w:p w:rsidR="00396E08" w:rsidRPr="00612443" w:rsidRDefault="00483258" w:rsidP="003847E4">
            <w:pPr>
              <w:jc w:val="center"/>
              <w:rPr>
                <w:rFonts w:ascii="Palatino Linotype" w:hAnsi="Palatino Linotype"/>
                <w:lang w:val="en-US"/>
              </w:rPr>
            </w:pPr>
            <w:r w:rsidRPr="00612443">
              <w:rPr>
                <w:rFonts w:ascii="Palatino Linotype" w:hAnsi="Palatino Linotype"/>
                <w:lang w:val="en-US"/>
              </w:rPr>
              <w:t>Table 1</w:t>
            </w:r>
            <w:r w:rsidR="003847E4">
              <w:rPr>
                <w:rFonts w:ascii="Palatino Linotype" w:hAnsi="Palatino Linotype"/>
                <w:lang w:val="en-US"/>
              </w:rPr>
              <w:t>4</w:t>
            </w:r>
            <w:r w:rsidRPr="00612443">
              <w:rPr>
                <w:rFonts w:ascii="Palatino Linotype" w:hAnsi="Palatino Linotype"/>
                <w:lang w:val="en-US"/>
              </w:rPr>
              <w:t xml:space="preserve">: Testing the </w:t>
            </w:r>
            <w:r w:rsidR="00D418A3" w:rsidRPr="00612443">
              <w:rPr>
                <w:rFonts w:ascii="Palatino Linotype" w:hAnsi="Palatino Linotype"/>
                <w:lang w:val="en-US"/>
              </w:rPr>
              <w:t>joint hypothesis of no intervention impact on the distribution of inflation expectations</w:t>
            </w:r>
            <w:r w:rsidR="003847E4">
              <w:rPr>
                <w:rFonts w:ascii="Palatino Linotype" w:hAnsi="Palatino Linotype"/>
                <w:lang w:val="en-US"/>
              </w:rPr>
              <w:t xml:space="preserve"> d</w:t>
            </w:r>
            <w:r w:rsidRPr="00612443">
              <w:rPr>
                <w:rFonts w:ascii="Palatino Linotype" w:hAnsi="Palatino Linotype"/>
                <w:lang w:val="en-US"/>
              </w:rPr>
              <w:t xml:space="preserve">uring the </w:t>
            </w:r>
            <w:r w:rsidR="00D418A3" w:rsidRPr="00612443">
              <w:rPr>
                <w:rFonts w:ascii="Palatino Linotype" w:hAnsi="Palatino Linotype"/>
                <w:lang w:val="en-US"/>
              </w:rPr>
              <w:t>2011 intervention program</w:t>
            </w:r>
          </w:p>
          <w:p w:rsidR="00396E08" w:rsidRPr="00612443" w:rsidRDefault="00396E08" w:rsidP="00396E08">
            <w:pPr>
              <w:ind w:firstLine="300"/>
              <w:rPr>
                <w:rFonts w:ascii="Palatino Linotype" w:hAnsi="Palatino Linotype"/>
                <w:lang w:val="en-US"/>
              </w:rPr>
            </w:pPr>
            <w:r w:rsidRPr="00612443">
              <w:rPr>
                <w:rFonts w:ascii="Palatino Linotype" w:hAnsi="Palatino Linotype"/>
                <w:lang w:val="en-US" w:eastAsia="en-US"/>
              </w:rPr>
              <w:drawing>
                <wp:inline distT="0" distB="0" distL="0" distR="0" wp14:anchorId="2109CBFA" wp14:editId="0FE2FBE2">
                  <wp:extent cx="4990271" cy="629719"/>
                  <wp:effectExtent l="19050" t="0" r="829" b="0"/>
                  <wp:docPr id="272" name="Imagen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77"/>
                          <a:srcRect/>
                          <a:stretch>
                            <a:fillRect/>
                          </a:stretch>
                        </pic:blipFill>
                        <pic:spPr bwMode="auto">
                          <a:xfrm>
                            <a:off x="0" y="0"/>
                            <a:ext cx="4993173" cy="630085"/>
                          </a:xfrm>
                          <a:prstGeom prst="rect">
                            <a:avLst/>
                          </a:prstGeom>
                          <a:noFill/>
                          <a:ln w="9525">
                            <a:noFill/>
                            <a:miter lim="800000"/>
                            <a:headEnd/>
                            <a:tailEnd/>
                          </a:ln>
                        </pic:spPr>
                      </pic:pic>
                    </a:graphicData>
                  </a:graphic>
                </wp:inline>
              </w:drawing>
            </w:r>
          </w:p>
          <w:p w:rsidR="00483258" w:rsidRPr="00612443" w:rsidRDefault="00483258" w:rsidP="00396E08">
            <w:pPr>
              <w:ind w:firstLine="300"/>
              <w:rPr>
                <w:rFonts w:ascii="Palatino Linotype" w:hAnsi="Palatino Linotype"/>
                <w:sz w:val="22"/>
                <w:szCs w:val="22"/>
                <w:lang w:val="en-US"/>
              </w:rPr>
            </w:pPr>
          </w:p>
          <w:p w:rsidR="00483258" w:rsidRPr="00612443" w:rsidRDefault="00483258" w:rsidP="00483258">
            <w:pPr>
              <w:ind w:firstLine="300"/>
              <w:rPr>
                <w:rFonts w:ascii="Palatino Linotype" w:hAnsi="Palatino Linotype"/>
                <w:sz w:val="18"/>
                <w:szCs w:val="18"/>
                <w:lang w:val="en-US"/>
              </w:rPr>
            </w:pPr>
            <w:r w:rsidRPr="00612443">
              <w:rPr>
                <w:rFonts w:ascii="Palatino Linotype" w:hAnsi="Palatino Linotype"/>
                <w:sz w:val="18"/>
                <w:szCs w:val="18"/>
                <w:lang w:val="en-US"/>
              </w:rPr>
              <w:t>Notes</w:t>
            </w:r>
            <w:r w:rsidRPr="00612443">
              <w:rPr>
                <w:rFonts w:ascii="Palatino Linotype" w:hAnsi="Palatino Linotype"/>
                <w:sz w:val="22"/>
                <w:szCs w:val="22"/>
                <w:lang w:val="en-US"/>
              </w:rPr>
              <w:t>: I</w:t>
            </w:r>
            <w:r w:rsidRPr="00612443">
              <w:rPr>
                <w:rFonts w:ascii="Palatino Linotype" w:hAnsi="Palatino Linotype"/>
                <w:sz w:val="18"/>
                <w:szCs w:val="18"/>
                <w:lang w:val="en-US"/>
              </w:rPr>
              <w:t xml:space="preserve">n the first two columns we test the null hypothesis that all nine </w:t>
            </w:r>
            <m:oMath>
              <m:sSubSup>
                <m:sSubSupPr>
                  <m:ctrlPr>
                    <w:rPr>
                      <w:rFonts w:ascii="Cambria Math" w:hAnsi="Cambria Math"/>
                      <w:i/>
                      <w:sz w:val="18"/>
                      <w:szCs w:val="18"/>
                      <w:lang w:val="en-US"/>
                    </w:rPr>
                  </m:ctrlPr>
                </m:sSubSupPr>
                <m:e>
                  <m:r>
                    <w:rPr>
                      <w:rFonts w:ascii="Cambria Math" w:hAnsi="Cambria Math"/>
                      <w:sz w:val="18"/>
                      <w:szCs w:val="18"/>
                      <w:lang w:val="en-US"/>
                    </w:rPr>
                    <m:t>γ</m:t>
                  </m:r>
                </m:e>
                <m:sub>
                  <m:r>
                    <w:rPr>
                      <w:rFonts w:ascii="Cambria Math" w:hAnsi="Cambria Math"/>
                      <w:sz w:val="18"/>
                      <w:szCs w:val="18"/>
                      <w:lang w:val="en-US"/>
                    </w:rPr>
                    <m:t>ih</m:t>
                  </m:r>
                </m:sub>
                <m:sup>
                  <m:r>
                    <w:rPr>
                      <w:rFonts w:ascii="Cambria Math" w:hAnsi="Cambria Math"/>
                      <w:sz w:val="18"/>
                      <w:szCs w:val="18"/>
                      <w:lang w:val="en-US"/>
                    </w:rPr>
                    <m:t>(2)</m:t>
                  </m:r>
                </m:sup>
              </m:sSubSup>
            </m:oMath>
            <w:r w:rsidRPr="00612443">
              <w:rPr>
                <w:rFonts w:ascii="Palatino Linotype" w:hAnsi="Palatino Linotype"/>
                <w:sz w:val="18"/>
                <w:szCs w:val="18"/>
                <w:lang w:val="en-US"/>
              </w:rPr>
              <w:t>coefficients are zero.</w:t>
            </w:r>
          </w:p>
          <w:p w:rsidR="00483258" w:rsidRPr="00612443" w:rsidRDefault="00483258" w:rsidP="00483258">
            <w:pPr>
              <w:ind w:left="870"/>
              <w:rPr>
                <w:rFonts w:ascii="Palatino Linotype" w:hAnsi="Palatino Linotype"/>
                <w:sz w:val="22"/>
                <w:szCs w:val="22"/>
                <w:lang w:val="en-US"/>
              </w:rPr>
            </w:pPr>
            <w:r w:rsidRPr="00612443">
              <w:rPr>
                <w:rFonts w:ascii="Palatino Linotype" w:hAnsi="Palatino Linotype"/>
                <w:sz w:val="22"/>
                <w:szCs w:val="22"/>
                <w:lang w:val="en-US"/>
              </w:rPr>
              <w:t>I</w:t>
            </w:r>
            <w:r w:rsidRPr="00612443">
              <w:rPr>
                <w:rFonts w:ascii="Palatino Linotype" w:hAnsi="Palatino Linotype"/>
                <w:sz w:val="18"/>
                <w:szCs w:val="18"/>
                <w:lang w:val="en-US"/>
              </w:rPr>
              <w:t xml:space="preserve">n the last two columns we test the null hypothesis that only the central coefficients </w:t>
            </w:r>
            <m:oMath>
              <m:sSubSup>
                <m:sSubSupPr>
                  <m:ctrlPr>
                    <w:rPr>
                      <w:rFonts w:ascii="Cambria Math" w:hAnsi="Cambria Math"/>
                      <w:i/>
                      <w:sz w:val="18"/>
                      <w:szCs w:val="18"/>
                      <w:lang w:val="en-US"/>
                    </w:rPr>
                  </m:ctrlPr>
                </m:sSubSupPr>
                <m:e>
                  <m:r>
                    <w:rPr>
                      <w:rFonts w:ascii="Cambria Math" w:hAnsi="Cambria Math"/>
                      <w:sz w:val="18"/>
                      <w:szCs w:val="18"/>
                      <w:lang w:val="en-US"/>
                    </w:rPr>
                    <m:t>γ</m:t>
                  </m:r>
                </m:e>
                <m:sub>
                  <m:r>
                    <w:rPr>
                      <w:rFonts w:ascii="Cambria Math" w:hAnsi="Cambria Math"/>
                      <w:sz w:val="18"/>
                      <w:szCs w:val="18"/>
                      <w:lang w:val="en-US"/>
                    </w:rPr>
                    <m:t>ih</m:t>
                  </m:r>
                </m:sub>
                <m:sup>
                  <m:r>
                    <w:rPr>
                      <w:rFonts w:ascii="Cambria Math" w:hAnsi="Cambria Math"/>
                      <w:sz w:val="18"/>
                      <w:szCs w:val="18"/>
                      <w:lang w:val="en-US"/>
                    </w:rPr>
                    <m:t>(2)</m:t>
                  </m:r>
                </m:sup>
              </m:sSubSup>
              <m:r>
                <w:rPr>
                  <w:rFonts w:ascii="Cambria Math" w:hAnsi="Cambria Math"/>
                  <w:sz w:val="18"/>
                  <w:szCs w:val="18"/>
                  <w:lang w:val="en-US"/>
                </w:rPr>
                <m:t xml:space="preserve"> </m:t>
              </m:r>
            </m:oMath>
            <w:r w:rsidRPr="00612443">
              <w:rPr>
                <w:rFonts w:ascii="Palatino Linotype" w:hAnsi="Palatino Linotype"/>
                <w:sz w:val="18"/>
                <w:szCs w:val="18"/>
                <w:lang w:val="en-US"/>
              </w:rPr>
              <w:t xml:space="preserve">are zero. In other words: </w:t>
            </w:r>
            <m:oMath>
              <m:sSub>
                <m:sSubPr>
                  <m:ctrlPr>
                    <w:rPr>
                      <w:rFonts w:ascii="Cambria Math" w:hAnsi="Cambria Math"/>
                      <w:i/>
                      <w:sz w:val="18"/>
                      <w:szCs w:val="18"/>
                      <w:lang w:val="en-US"/>
                    </w:rPr>
                  </m:ctrlPr>
                </m:sSubPr>
                <m:e>
                  <m:r>
                    <w:rPr>
                      <w:rFonts w:ascii="Cambria Math" w:hAnsi="Cambria Math"/>
                      <w:sz w:val="18"/>
                      <w:szCs w:val="18"/>
                      <w:lang w:val="en-US"/>
                    </w:rPr>
                    <m:t>H</m:t>
                  </m:r>
                </m:e>
                <m:sub>
                  <m:r>
                    <w:rPr>
                      <w:rFonts w:ascii="Cambria Math" w:hAnsi="Cambria Math"/>
                      <w:sz w:val="18"/>
                      <w:szCs w:val="18"/>
                      <w:lang w:val="en-US"/>
                    </w:rPr>
                    <m:t>0</m:t>
                  </m:r>
                </m:sub>
              </m:sSub>
              <m:r>
                <w:rPr>
                  <w:rFonts w:ascii="Cambria Math" w:hAnsi="Cambria Math"/>
                  <w:sz w:val="18"/>
                  <w:szCs w:val="18"/>
                  <w:lang w:val="en-US"/>
                </w:rPr>
                <m:t xml:space="preserve">:   </m:t>
              </m:r>
              <m:sSubSup>
                <m:sSubSupPr>
                  <m:ctrlPr>
                    <w:rPr>
                      <w:rFonts w:ascii="Cambria Math" w:hAnsi="Cambria Math"/>
                      <w:i/>
                      <w:sz w:val="18"/>
                      <w:szCs w:val="18"/>
                      <w:lang w:val="en-US"/>
                    </w:rPr>
                  </m:ctrlPr>
                </m:sSubSupPr>
                <m:e>
                  <m:r>
                    <w:rPr>
                      <w:rFonts w:ascii="Cambria Math" w:hAnsi="Cambria Math"/>
                      <w:sz w:val="18"/>
                      <w:szCs w:val="18"/>
                      <w:lang w:val="en-US"/>
                    </w:rPr>
                    <m:t>γ</m:t>
                  </m:r>
                </m:e>
                <m:sub>
                  <m:r>
                    <w:rPr>
                      <w:rFonts w:ascii="Cambria Math" w:hAnsi="Cambria Math"/>
                      <w:sz w:val="18"/>
                      <w:szCs w:val="18"/>
                      <w:lang w:val="en-US"/>
                    </w:rPr>
                    <m:t>3</m:t>
                  </m:r>
                  <m:r>
                    <w:rPr>
                      <w:rFonts w:ascii="Cambria Math" w:hAnsi="Cambria Math"/>
                      <w:sz w:val="18"/>
                      <w:szCs w:val="18"/>
                      <w:lang w:val="en-US"/>
                    </w:rPr>
                    <m:t>h</m:t>
                  </m:r>
                </m:sub>
                <m:sup>
                  <m:r>
                    <w:rPr>
                      <w:rFonts w:ascii="Cambria Math" w:hAnsi="Cambria Math"/>
                      <w:sz w:val="18"/>
                      <w:szCs w:val="18"/>
                      <w:lang w:val="en-US"/>
                    </w:rPr>
                    <m:t>(2)</m:t>
                  </m:r>
                </m:sup>
              </m:sSubSup>
              <m:r>
                <w:rPr>
                  <w:rFonts w:ascii="Cambria Math" w:hAnsi="Cambria Math"/>
                  <w:sz w:val="18"/>
                  <w:szCs w:val="18"/>
                  <w:lang w:val="en-US"/>
                </w:rPr>
                <m:t>=</m:t>
              </m:r>
              <m:sSubSup>
                <m:sSubSupPr>
                  <m:ctrlPr>
                    <w:rPr>
                      <w:rFonts w:ascii="Cambria Math" w:hAnsi="Cambria Math"/>
                      <w:i/>
                      <w:sz w:val="18"/>
                      <w:szCs w:val="18"/>
                      <w:lang w:val="en-US"/>
                    </w:rPr>
                  </m:ctrlPr>
                </m:sSubSupPr>
                <m:e>
                  <m:r>
                    <w:rPr>
                      <w:rFonts w:ascii="Cambria Math" w:hAnsi="Cambria Math"/>
                      <w:sz w:val="18"/>
                      <w:szCs w:val="18"/>
                      <w:lang w:val="en-US"/>
                    </w:rPr>
                    <m:t>γ</m:t>
                  </m:r>
                </m:e>
                <m:sub>
                  <m:r>
                    <w:rPr>
                      <w:rFonts w:ascii="Cambria Math" w:hAnsi="Cambria Math"/>
                      <w:sz w:val="18"/>
                      <w:szCs w:val="18"/>
                      <w:lang w:val="en-US"/>
                    </w:rPr>
                    <m:t>4</m:t>
                  </m:r>
                  <m:r>
                    <w:rPr>
                      <w:rFonts w:ascii="Cambria Math" w:hAnsi="Cambria Math"/>
                      <w:sz w:val="18"/>
                      <w:szCs w:val="18"/>
                      <w:lang w:val="en-US"/>
                    </w:rPr>
                    <m:t>h</m:t>
                  </m:r>
                </m:sub>
                <m:sup>
                  <m:r>
                    <w:rPr>
                      <w:rFonts w:ascii="Cambria Math" w:hAnsi="Cambria Math"/>
                      <w:sz w:val="18"/>
                      <w:szCs w:val="18"/>
                      <w:lang w:val="en-US"/>
                    </w:rPr>
                    <m:t>(2)</m:t>
                  </m:r>
                </m:sup>
              </m:sSubSup>
              <m:r>
                <w:rPr>
                  <w:rFonts w:ascii="Cambria Math" w:hAnsi="Cambria Math"/>
                  <w:sz w:val="18"/>
                  <w:szCs w:val="18"/>
                  <w:lang w:val="en-US"/>
                </w:rPr>
                <m:t>=</m:t>
              </m:r>
              <m:sSubSup>
                <m:sSubSupPr>
                  <m:ctrlPr>
                    <w:rPr>
                      <w:rFonts w:ascii="Cambria Math" w:hAnsi="Cambria Math"/>
                      <w:i/>
                      <w:sz w:val="18"/>
                      <w:szCs w:val="18"/>
                      <w:lang w:val="en-US"/>
                    </w:rPr>
                  </m:ctrlPr>
                </m:sSubSupPr>
                <m:e>
                  <m:r>
                    <w:rPr>
                      <w:rFonts w:ascii="Cambria Math" w:hAnsi="Cambria Math"/>
                      <w:sz w:val="18"/>
                      <w:szCs w:val="18"/>
                      <w:lang w:val="en-US"/>
                    </w:rPr>
                    <m:t>γ</m:t>
                  </m:r>
                </m:e>
                <m:sub>
                  <m:r>
                    <w:rPr>
                      <w:rFonts w:ascii="Cambria Math" w:hAnsi="Cambria Math"/>
                      <w:sz w:val="18"/>
                      <w:szCs w:val="18"/>
                      <w:lang w:val="en-US"/>
                    </w:rPr>
                    <m:t>5</m:t>
                  </m:r>
                  <m:r>
                    <w:rPr>
                      <w:rFonts w:ascii="Cambria Math" w:hAnsi="Cambria Math"/>
                      <w:sz w:val="18"/>
                      <w:szCs w:val="18"/>
                      <w:lang w:val="en-US"/>
                    </w:rPr>
                    <m:t>h</m:t>
                  </m:r>
                </m:sub>
                <m:sup>
                  <m:r>
                    <w:rPr>
                      <w:rFonts w:ascii="Cambria Math" w:hAnsi="Cambria Math"/>
                      <w:sz w:val="18"/>
                      <w:szCs w:val="18"/>
                      <w:lang w:val="en-US"/>
                    </w:rPr>
                    <m:t>(2)</m:t>
                  </m:r>
                </m:sup>
              </m:sSubSup>
              <m:r>
                <w:rPr>
                  <w:rFonts w:ascii="Cambria Math" w:hAnsi="Cambria Math"/>
                  <w:sz w:val="18"/>
                  <w:szCs w:val="18"/>
                  <w:lang w:val="en-US"/>
                </w:rPr>
                <m:t>=</m:t>
              </m:r>
              <m:sSubSup>
                <m:sSubSupPr>
                  <m:ctrlPr>
                    <w:rPr>
                      <w:rFonts w:ascii="Cambria Math" w:hAnsi="Cambria Math"/>
                      <w:i/>
                      <w:sz w:val="18"/>
                      <w:szCs w:val="18"/>
                      <w:lang w:val="en-US"/>
                    </w:rPr>
                  </m:ctrlPr>
                </m:sSubSupPr>
                <m:e>
                  <m:r>
                    <w:rPr>
                      <w:rFonts w:ascii="Cambria Math" w:hAnsi="Cambria Math"/>
                      <w:sz w:val="18"/>
                      <w:szCs w:val="18"/>
                      <w:lang w:val="en-US"/>
                    </w:rPr>
                    <m:t>γ</m:t>
                  </m:r>
                </m:e>
                <m:sub>
                  <m:r>
                    <w:rPr>
                      <w:rFonts w:ascii="Cambria Math" w:hAnsi="Cambria Math"/>
                      <w:sz w:val="18"/>
                      <w:szCs w:val="18"/>
                      <w:lang w:val="en-US"/>
                    </w:rPr>
                    <m:t>6</m:t>
                  </m:r>
                  <m:r>
                    <w:rPr>
                      <w:rFonts w:ascii="Cambria Math" w:hAnsi="Cambria Math"/>
                      <w:sz w:val="18"/>
                      <w:szCs w:val="18"/>
                      <w:lang w:val="en-US"/>
                    </w:rPr>
                    <m:t>h</m:t>
                  </m:r>
                </m:sub>
                <m:sup>
                  <m:r>
                    <w:rPr>
                      <w:rFonts w:ascii="Cambria Math" w:hAnsi="Cambria Math"/>
                      <w:sz w:val="18"/>
                      <w:szCs w:val="18"/>
                      <w:lang w:val="en-US"/>
                    </w:rPr>
                    <m:t>(2)</m:t>
                  </m:r>
                </m:sup>
              </m:sSubSup>
              <m:r>
                <w:rPr>
                  <w:rFonts w:ascii="Cambria Math" w:hAnsi="Cambria Math"/>
                  <w:sz w:val="18"/>
                  <w:szCs w:val="18"/>
                  <w:lang w:val="en-US"/>
                </w:rPr>
                <m:t>=</m:t>
              </m:r>
              <m:sSubSup>
                <m:sSubSupPr>
                  <m:ctrlPr>
                    <w:rPr>
                      <w:rFonts w:ascii="Cambria Math" w:hAnsi="Cambria Math"/>
                      <w:i/>
                      <w:sz w:val="18"/>
                      <w:szCs w:val="18"/>
                      <w:lang w:val="en-US"/>
                    </w:rPr>
                  </m:ctrlPr>
                </m:sSubSupPr>
                <m:e>
                  <m:r>
                    <w:rPr>
                      <w:rFonts w:ascii="Cambria Math" w:hAnsi="Cambria Math"/>
                      <w:sz w:val="18"/>
                      <w:szCs w:val="18"/>
                      <w:lang w:val="en-US"/>
                    </w:rPr>
                    <m:t>γ</m:t>
                  </m:r>
                </m:e>
                <m:sub>
                  <m:r>
                    <w:rPr>
                      <w:rFonts w:ascii="Cambria Math" w:hAnsi="Cambria Math"/>
                      <w:sz w:val="18"/>
                      <w:szCs w:val="18"/>
                      <w:lang w:val="en-US"/>
                    </w:rPr>
                    <m:t>7</m:t>
                  </m:r>
                  <m:r>
                    <w:rPr>
                      <w:rFonts w:ascii="Cambria Math" w:hAnsi="Cambria Math"/>
                      <w:sz w:val="18"/>
                      <w:szCs w:val="18"/>
                      <w:lang w:val="en-US"/>
                    </w:rPr>
                    <m:t>h</m:t>
                  </m:r>
                </m:sub>
                <m:sup>
                  <m:r>
                    <w:rPr>
                      <w:rFonts w:ascii="Cambria Math" w:hAnsi="Cambria Math"/>
                      <w:sz w:val="18"/>
                      <w:szCs w:val="18"/>
                      <w:lang w:val="en-US"/>
                    </w:rPr>
                    <m:t>(2)</m:t>
                  </m:r>
                </m:sup>
              </m:sSubSup>
              <m:r>
                <w:rPr>
                  <w:rFonts w:ascii="Cambria Math" w:hAnsi="Cambria Math"/>
                  <w:sz w:val="18"/>
                  <w:szCs w:val="18"/>
                  <w:lang w:val="en-US"/>
                </w:rPr>
                <m:t>=0</m:t>
              </m:r>
            </m:oMath>
            <w:r w:rsidRPr="00612443">
              <w:rPr>
                <w:rFonts w:ascii="Palatino Linotype" w:hAnsi="Palatino Linotype"/>
                <w:sz w:val="18"/>
                <w:szCs w:val="18"/>
                <w:lang w:val="en-US"/>
              </w:rPr>
              <w:t>.</w:t>
            </w:r>
            <w:r w:rsidRPr="00612443">
              <w:rPr>
                <w:rFonts w:ascii="Palatino Linotype" w:hAnsi="Palatino Linotype"/>
                <w:sz w:val="18"/>
                <w:szCs w:val="18"/>
                <w:lang w:val="en-US"/>
              </w:rPr>
              <w:tab/>
            </w:r>
          </w:p>
          <w:p w:rsidR="00483258" w:rsidRPr="00612443" w:rsidRDefault="00483258" w:rsidP="0049257F">
            <w:pPr>
              <w:jc w:val="center"/>
              <w:rPr>
                <w:rFonts w:ascii="Palatino Linotype" w:hAnsi="Palatino Linotype"/>
                <w:szCs w:val="22"/>
                <w:lang w:val="en-US"/>
              </w:rPr>
            </w:pPr>
          </w:p>
        </w:tc>
      </w:tr>
    </w:tbl>
    <w:p w:rsidR="0058159B" w:rsidRPr="00612443" w:rsidRDefault="0058159B" w:rsidP="0058159B">
      <w:pPr>
        <w:rPr>
          <w:rFonts w:ascii="Palatino Linotype" w:hAnsi="Palatino Linotype"/>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 xml:space="preserve">Results in Tables </w:t>
      </w:r>
      <w:r w:rsidR="00373B07">
        <w:rPr>
          <w:rFonts w:ascii="Palatino Linotype" w:hAnsi="Palatino Linotype"/>
          <w:sz w:val="22"/>
          <w:szCs w:val="22"/>
          <w:lang w:val="en-US"/>
        </w:rPr>
        <w:t>3</w:t>
      </w:r>
      <w:r w:rsidR="00D418A3" w:rsidRPr="00612443">
        <w:rPr>
          <w:rFonts w:ascii="Palatino Linotype" w:hAnsi="Palatino Linotype"/>
          <w:sz w:val="22"/>
          <w:szCs w:val="22"/>
          <w:lang w:val="en-US"/>
        </w:rPr>
        <w:t>–</w:t>
      </w:r>
      <w:r w:rsidR="00483258" w:rsidRPr="00612443">
        <w:rPr>
          <w:rFonts w:ascii="Palatino Linotype" w:hAnsi="Palatino Linotype"/>
          <w:sz w:val="22"/>
          <w:szCs w:val="22"/>
          <w:lang w:val="en-US"/>
        </w:rPr>
        <w:t>1</w:t>
      </w:r>
      <w:r w:rsidR="00373B07">
        <w:rPr>
          <w:rFonts w:ascii="Palatino Linotype" w:hAnsi="Palatino Linotype"/>
          <w:sz w:val="22"/>
          <w:szCs w:val="22"/>
          <w:lang w:val="en-US"/>
        </w:rPr>
        <w:t>4</w:t>
      </w:r>
      <w:r w:rsidRPr="00612443">
        <w:rPr>
          <w:rFonts w:ascii="Palatino Linotype" w:hAnsi="Palatino Linotype"/>
          <w:sz w:val="22"/>
          <w:szCs w:val="22"/>
          <w:lang w:val="en-US"/>
        </w:rPr>
        <w:t xml:space="preserve"> suggest that the interventions in 2008 and in 2011 had different implications over the distribution of inflation expectations. </w:t>
      </w:r>
      <w:r w:rsidR="00B9068F" w:rsidRPr="00612443">
        <w:rPr>
          <w:rFonts w:ascii="Palatino Linotype" w:hAnsi="Palatino Linotype"/>
          <w:sz w:val="22"/>
          <w:szCs w:val="22"/>
          <w:lang w:val="en-US"/>
        </w:rPr>
        <w:t>R</w:t>
      </w:r>
      <w:r w:rsidRPr="00612443">
        <w:rPr>
          <w:rFonts w:ascii="Palatino Linotype" w:hAnsi="Palatino Linotype"/>
          <w:sz w:val="22"/>
          <w:szCs w:val="22"/>
          <w:lang w:val="en-US"/>
        </w:rPr>
        <w:t xml:space="preserve">esults reported in </w:t>
      </w:r>
      <w:r w:rsidR="00DA5EC2" w:rsidRPr="00612443">
        <w:rPr>
          <w:rFonts w:ascii="Palatino Linotype" w:hAnsi="Palatino Linotype"/>
          <w:sz w:val="22"/>
          <w:szCs w:val="22"/>
          <w:lang w:val="en-US"/>
        </w:rPr>
        <w:t>T</w:t>
      </w:r>
      <w:r w:rsidRPr="00612443">
        <w:rPr>
          <w:rFonts w:ascii="Palatino Linotype" w:hAnsi="Palatino Linotype"/>
          <w:sz w:val="22"/>
          <w:szCs w:val="22"/>
          <w:lang w:val="en-US"/>
        </w:rPr>
        <w:t xml:space="preserve">ables </w:t>
      </w:r>
      <w:r w:rsidR="00373B07">
        <w:rPr>
          <w:rFonts w:ascii="Palatino Linotype" w:hAnsi="Palatino Linotype"/>
          <w:sz w:val="22"/>
          <w:szCs w:val="22"/>
          <w:lang w:val="en-US"/>
        </w:rPr>
        <w:t>3</w:t>
      </w:r>
      <w:r w:rsidRPr="00612443">
        <w:rPr>
          <w:rFonts w:ascii="Palatino Linotype" w:hAnsi="Palatino Linotype"/>
          <w:sz w:val="22"/>
          <w:szCs w:val="22"/>
          <w:lang w:val="en-US"/>
        </w:rPr>
        <w:t>-</w:t>
      </w:r>
      <w:r w:rsidR="00373B07">
        <w:rPr>
          <w:rFonts w:ascii="Palatino Linotype" w:hAnsi="Palatino Linotype"/>
          <w:sz w:val="22"/>
          <w:szCs w:val="22"/>
          <w:lang w:val="en-US"/>
        </w:rPr>
        <w:t>5</w:t>
      </w:r>
      <w:r w:rsidRPr="00612443">
        <w:rPr>
          <w:rFonts w:ascii="Palatino Linotype" w:hAnsi="Palatino Linotype"/>
          <w:sz w:val="22"/>
          <w:szCs w:val="22"/>
          <w:lang w:val="en-US"/>
        </w:rPr>
        <w:t xml:space="preserve"> are probably significant mainly as a consequence of the intervention carried out in 2008. This distinction is important as the macroeconomic conditions surrounding both interventions were very different. It is possible that the high levels of inflation preceding the 2008 intervention may have created an inappropriate environment for an intervention to take place without collateral </w:t>
      </w:r>
      <w:r w:rsidR="00B9068F" w:rsidRPr="00612443">
        <w:rPr>
          <w:rFonts w:ascii="Palatino Linotype" w:hAnsi="Palatino Linotype"/>
          <w:sz w:val="22"/>
          <w:szCs w:val="22"/>
          <w:lang w:val="en-US"/>
        </w:rPr>
        <w:t>effects</w:t>
      </w:r>
      <w:r w:rsidRPr="00612443">
        <w:rPr>
          <w:rFonts w:ascii="Palatino Linotype" w:hAnsi="Palatino Linotype"/>
          <w:sz w:val="22"/>
          <w:szCs w:val="22"/>
          <w:lang w:val="en-US"/>
        </w:rPr>
        <w:t>.</w:t>
      </w:r>
      <w:r w:rsidR="00B9068F" w:rsidRPr="00612443">
        <w:rPr>
          <w:rFonts w:ascii="Palatino Linotype" w:hAnsi="Palatino Linotype"/>
          <w:sz w:val="22"/>
          <w:szCs w:val="22"/>
          <w:lang w:val="en-US"/>
        </w:rPr>
        <w:t xml:space="preserve"> This is just a hypothesis. The precise reasons behind the different results associated to the two similar intervention programs are ultimately unknown, and are left as a subject </w:t>
      </w:r>
      <w:r w:rsidR="00D174C9" w:rsidRPr="00612443">
        <w:rPr>
          <w:rFonts w:ascii="Palatino Linotype" w:hAnsi="Palatino Linotype"/>
          <w:sz w:val="22"/>
          <w:szCs w:val="22"/>
          <w:lang w:val="en-US"/>
        </w:rPr>
        <w:t xml:space="preserve">for </w:t>
      </w:r>
      <w:r w:rsidR="00B9068F" w:rsidRPr="00612443">
        <w:rPr>
          <w:rFonts w:ascii="Palatino Linotype" w:hAnsi="Palatino Linotype"/>
          <w:sz w:val="22"/>
          <w:szCs w:val="22"/>
          <w:lang w:val="en-US"/>
        </w:rPr>
        <w:t>further research</w:t>
      </w:r>
      <w:r w:rsidR="00DA5EC2" w:rsidRPr="00612443">
        <w:rPr>
          <w:rFonts w:ascii="Palatino Linotype" w:hAnsi="Palatino Linotype"/>
          <w:sz w:val="22"/>
          <w:szCs w:val="22"/>
          <w:lang w:val="en-US"/>
        </w:rPr>
        <w:t>.</w:t>
      </w:r>
      <w:r w:rsidR="00D0460B" w:rsidRPr="00612443">
        <w:rPr>
          <w:rStyle w:val="Refdenotaalpie"/>
          <w:rFonts w:ascii="Palatino Linotype" w:hAnsi="Palatino Linotype"/>
          <w:sz w:val="22"/>
          <w:szCs w:val="22"/>
          <w:lang w:val="en-US"/>
        </w:rPr>
        <w:footnoteReference w:id="16"/>
      </w:r>
    </w:p>
    <w:p w:rsidR="0058159B" w:rsidRPr="00612443" w:rsidRDefault="0058159B">
      <w:pPr>
        <w:ind w:firstLine="300"/>
        <w:rPr>
          <w:rFonts w:ascii="Palatino Linotype" w:hAnsi="Palatino Linotype"/>
          <w:sz w:val="22"/>
          <w:szCs w:val="22"/>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Thus far we have investigated whether the interventions carried out in 2008 and 2011 in Chile had an impact on the distribution of inflation expectations or not. In the next section</w:t>
      </w:r>
      <w:r w:rsidR="009E53B5" w:rsidRPr="00612443">
        <w:rPr>
          <w:rFonts w:ascii="Palatino Linotype" w:hAnsi="Palatino Linotype"/>
          <w:sz w:val="22"/>
          <w:szCs w:val="22"/>
          <w:lang w:val="en-US"/>
        </w:rPr>
        <w:t>,</w:t>
      </w:r>
      <w:r w:rsidRPr="00612443">
        <w:rPr>
          <w:rFonts w:ascii="Palatino Linotype" w:hAnsi="Palatino Linotype"/>
          <w:sz w:val="22"/>
          <w:szCs w:val="22"/>
          <w:lang w:val="en-US"/>
        </w:rPr>
        <w:t xml:space="preserve"> we further explore the nature on these impacts. In particular we place our attention on the duration of the impact via an impulse-response analysis.</w:t>
      </w:r>
    </w:p>
    <w:p w:rsidR="0058159B" w:rsidRPr="00612443" w:rsidRDefault="0058159B">
      <w:pPr>
        <w:ind w:firstLine="300"/>
        <w:rPr>
          <w:rFonts w:ascii="Palatino Linotype" w:hAnsi="Palatino Linotype"/>
          <w:sz w:val="22"/>
          <w:szCs w:val="22"/>
          <w:lang w:val="en-US"/>
        </w:rPr>
      </w:pPr>
    </w:p>
    <w:p w:rsidR="00D67271" w:rsidRPr="00373B07" w:rsidRDefault="000D18E6" w:rsidP="00373B07">
      <w:pPr>
        <w:pStyle w:val="Ttulo3"/>
        <w:widowControl/>
        <w:numPr>
          <w:ilvl w:val="2"/>
          <w:numId w:val="1"/>
        </w:numPr>
        <w:spacing w:before="120"/>
        <w:rPr>
          <w:rFonts w:ascii="Palatino Linotype" w:hAnsi="Palatino Linotype"/>
          <w:b w:val="0"/>
          <w:i/>
          <w:sz w:val="22"/>
          <w:szCs w:val="22"/>
          <w:lang w:val="en-US"/>
        </w:rPr>
      </w:pPr>
      <w:r w:rsidRPr="00373B07">
        <w:rPr>
          <w:rFonts w:ascii="Palatino Linotype" w:hAnsi="Palatino Linotype"/>
          <w:b w:val="0"/>
          <w:i/>
          <w:sz w:val="22"/>
          <w:szCs w:val="22"/>
          <w:lang w:val="en-US"/>
        </w:rPr>
        <w:lastRenderedPageBreak/>
        <w:t>Impulse</w:t>
      </w:r>
      <w:r w:rsidR="00DA5EC2" w:rsidRPr="00373B07">
        <w:rPr>
          <w:rFonts w:ascii="Palatino Linotype" w:hAnsi="Palatino Linotype"/>
          <w:b w:val="0"/>
          <w:i/>
          <w:sz w:val="22"/>
          <w:szCs w:val="22"/>
          <w:lang w:val="en-US"/>
        </w:rPr>
        <w:t>-response analysis</w:t>
      </w:r>
    </w:p>
    <w:p w:rsidR="0058159B" w:rsidRPr="00612443" w:rsidRDefault="0058159B" w:rsidP="0058159B">
      <w:pPr>
        <w:pStyle w:val="Prrafodelista"/>
        <w:ind w:left="825"/>
        <w:rPr>
          <w:rFonts w:ascii="Palatino Linotype" w:hAnsi="Palatino Linotype"/>
          <w:lang w:val="en-US"/>
        </w:rPr>
      </w:pPr>
    </w:p>
    <w:p w:rsidR="00D67271" w:rsidRPr="00612443" w:rsidRDefault="000D18E6" w:rsidP="0058159B">
      <w:pPr>
        <w:spacing w:before="60"/>
        <w:ind w:firstLine="360"/>
        <w:rPr>
          <w:rFonts w:ascii="Palatino Linotype" w:hAnsi="Palatino Linotype"/>
          <w:sz w:val="22"/>
          <w:szCs w:val="22"/>
          <w:lang w:val="en-US"/>
        </w:rPr>
      </w:pPr>
      <w:r w:rsidRPr="00612443">
        <w:rPr>
          <w:rFonts w:ascii="Palatino Linotype" w:hAnsi="Palatino Linotype"/>
          <w:sz w:val="22"/>
          <w:szCs w:val="22"/>
          <w:lang w:val="en-US"/>
        </w:rPr>
        <w:t xml:space="preserve">Our previous analysis offers an answer to the question about the predictive power of the interventions on the distribution of inflation expectations. With </w:t>
      </w:r>
      <w:r w:rsidR="00DA5EC2" w:rsidRPr="00612443">
        <w:rPr>
          <w:rFonts w:ascii="Palatino Linotype" w:hAnsi="Palatino Linotype"/>
          <w:sz w:val="22"/>
          <w:szCs w:val="22"/>
          <w:lang w:val="en-US"/>
        </w:rPr>
        <w:t>T</w:t>
      </w:r>
      <w:r w:rsidRPr="00612443">
        <w:rPr>
          <w:rFonts w:ascii="Palatino Linotype" w:hAnsi="Palatino Linotype"/>
          <w:sz w:val="22"/>
          <w:szCs w:val="22"/>
          <w:lang w:val="en-US"/>
        </w:rPr>
        <w:t xml:space="preserve">ables </w:t>
      </w:r>
      <w:r w:rsidR="004A3EE7">
        <w:rPr>
          <w:rFonts w:ascii="Palatino Linotype" w:hAnsi="Palatino Linotype"/>
          <w:sz w:val="22"/>
          <w:szCs w:val="22"/>
          <w:lang w:val="en-US"/>
        </w:rPr>
        <w:t>3</w:t>
      </w:r>
      <w:r w:rsidR="00DA5EC2" w:rsidRPr="00612443">
        <w:rPr>
          <w:rFonts w:ascii="Palatino Linotype" w:hAnsi="Palatino Linotype"/>
          <w:sz w:val="22"/>
          <w:szCs w:val="22"/>
          <w:lang w:val="en-US"/>
        </w:rPr>
        <w:t>–</w:t>
      </w:r>
      <w:r w:rsidR="00483258" w:rsidRPr="00612443">
        <w:rPr>
          <w:rFonts w:ascii="Palatino Linotype" w:hAnsi="Palatino Linotype"/>
          <w:sz w:val="22"/>
          <w:szCs w:val="22"/>
          <w:lang w:val="en-US"/>
        </w:rPr>
        <w:t>1</w:t>
      </w:r>
      <w:r w:rsidR="004A3EE7">
        <w:rPr>
          <w:rFonts w:ascii="Palatino Linotype" w:hAnsi="Palatino Linotype"/>
          <w:sz w:val="22"/>
          <w:szCs w:val="22"/>
          <w:lang w:val="en-US"/>
        </w:rPr>
        <w:t>4</w:t>
      </w:r>
      <w:r w:rsidR="00DA5EC2" w:rsidRPr="00612443">
        <w:rPr>
          <w:rFonts w:ascii="Palatino Linotype" w:hAnsi="Palatino Linotype"/>
          <w:sz w:val="22"/>
          <w:szCs w:val="22"/>
          <w:lang w:val="en-US"/>
        </w:rPr>
        <w:t>,</w:t>
      </w:r>
      <w:r w:rsidRPr="00612443">
        <w:rPr>
          <w:rFonts w:ascii="Palatino Linotype" w:hAnsi="Palatino Linotype"/>
          <w:sz w:val="22"/>
          <w:szCs w:val="22"/>
          <w:lang w:val="en-US"/>
        </w:rPr>
        <w:t xml:space="preserve"> we have shown that interventions d</w:t>
      </w:r>
      <w:r w:rsidR="00D0460B" w:rsidRPr="00612443">
        <w:rPr>
          <w:rFonts w:ascii="Palatino Linotype" w:hAnsi="Palatino Linotype"/>
          <w:sz w:val="22"/>
          <w:szCs w:val="22"/>
          <w:lang w:val="en-US"/>
        </w:rPr>
        <w:t>id</w:t>
      </w:r>
      <w:r w:rsidRPr="00612443">
        <w:rPr>
          <w:rFonts w:ascii="Palatino Linotype" w:hAnsi="Palatino Linotype"/>
          <w:sz w:val="22"/>
          <w:szCs w:val="22"/>
          <w:lang w:val="en-US"/>
        </w:rPr>
        <w:t xml:space="preserve"> have the ability to predict some changes in the distribution of inflation expectations</w:t>
      </w:r>
      <w:r w:rsidR="00D0460B" w:rsidRPr="00612443">
        <w:rPr>
          <w:rFonts w:ascii="Palatino Linotype" w:hAnsi="Palatino Linotype"/>
          <w:sz w:val="22"/>
          <w:szCs w:val="22"/>
          <w:lang w:val="en-US"/>
        </w:rPr>
        <w:t xml:space="preserve"> in 2008</w:t>
      </w:r>
      <w:r w:rsidRPr="00612443">
        <w:rPr>
          <w:rFonts w:ascii="Palatino Linotype" w:hAnsi="Palatino Linotype"/>
          <w:sz w:val="22"/>
          <w:szCs w:val="22"/>
          <w:lang w:val="en-US"/>
        </w:rPr>
        <w:t>. We now focus on the dynamic response of the distribution of inflation expectations to an intervention shock. In particular we would like to know something about the persistence of this response. To that end</w:t>
      </w:r>
      <w:r w:rsidR="00DA5EC2" w:rsidRPr="00612443">
        <w:rPr>
          <w:rFonts w:ascii="Palatino Linotype" w:hAnsi="Palatino Linotype"/>
          <w:sz w:val="22"/>
          <w:szCs w:val="22"/>
          <w:lang w:val="en-US"/>
        </w:rPr>
        <w:t>,</w:t>
      </w:r>
      <w:r w:rsidRPr="00612443">
        <w:rPr>
          <w:rFonts w:ascii="Palatino Linotype" w:hAnsi="Palatino Linotype"/>
          <w:sz w:val="22"/>
          <w:szCs w:val="22"/>
          <w:lang w:val="en-US"/>
        </w:rPr>
        <w:t xml:space="preserve"> we estimate a reduce</w:t>
      </w:r>
      <w:r w:rsidR="00DA5EC2" w:rsidRPr="00612443">
        <w:rPr>
          <w:rFonts w:ascii="Palatino Linotype" w:hAnsi="Palatino Linotype"/>
          <w:sz w:val="22"/>
          <w:szCs w:val="22"/>
          <w:lang w:val="en-US"/>
        </w:rPr>
        <w:t>d</w:t>
      </w:r>
      <w:r w:rsidRPr="00612443">
        <w:rPr>
          <w:rFonts w:ascii="Palatino Linotype" w:hAnsi="Palatino Linotype"/>
          <w:sz w:val="22"/>
          <w:szCs w:val="22"/>
          <w:lang w:val="en-US"/>
        </w:rPr>
        <w:t xml:space="preserve"> VAR using several endogenous and exogenous variables. Table 1</w:t>
      </w:r>
      <w:r w:rsidR="004A3EE7">
        <w:rPr>
          <w:rFonts w:ascii="Palatino Linotype" w:hAnsi="Palatino Linotype"/>
          <w:sz w:val="22"/>
          <w:szCs w:val="22"/>
          <w:lang w:val="en-US"/>
        </w:rPr>
        <w:t>5</w:t>
      </w:r>
      <w:r w:rsidRPr="00612443">
        <w:rPr>
          <w:rFonts w:ascii="Palatino Linotype" w:hAnsi="Palatino Linotype"/>
          <w:sz w:val="22"/>
          <w:szCs w:val="22"/>
          <w:lang w:val="en-US"/>
        </w:rPr>
        <w:t xml:space="preserve"> shows the variables that we use in our VAR specification</w:t>
      </w:r>
      <w:r w:rsidR="00B60FFC" w:rsidRPr="00612443">
        <w:rPr>
          <w:rStyle w:val="Refdenotaalpie"/>
          <w:rFonts w:ascii="Palatino Linotype" w:hAnsi="Palatino Linotype"/>
          <w:sz w:val="22"/>
          <w:szCs w:val="22"/>
          <w:lang w:val="en-US"/>
        </w:rPr>
        <w:footnoteReference w:id="17"/>
      </w:r>
      <w:r w:rsidRPr="00612443">
        <w:rPr>
          <w:rFonts w:ascii="Palatino Linotype" w:hAnsi="Palatino Linotype"/>
          <w:sz w:val="22"/>
          <w:szCs w:val="22"/>
          <w:lang w:val="en-US"/>
        </w:rPr>
        <w:t>:</w:t>
      </w:r>
    </w:p>
    <w:p w:rsidR="0058159B" w:rsidRPr="00612443" w:rsidRDefault="0058159B" w:rsidP="0058159B">
      <w:pPr>
        <w:spacing w:before="60"/>
        <w:ind w:firstLine="360"/>
        <w:rPr>
          <w:rFonts w:ascii="Palatino Linotype" w:hAnsi="Palatino Linotype"/>
          <w:sz w:val="22"/>
          <w:szCs w:val="22"/>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49257F" w:rsidRPr="00612443" w:rsidTr="0049257F">
        <w:tc>
          <w:tcPr>
            <w:tcW w:w="8978" w:type="dxa"/>
            <w:gridSpan w:val="2"/>
            <w:vAlign w:val="center"/>
          </w:tcPr>
          <w:p w:rsidR="00D0460B" w:rsidRPr="00612443" w:rsidRDefault="00D0460B" w:rsidP="00483258">
            <w:pPr>
              <w:jc w:val="center"/>
              <w:rPr>
                <w:rFonts w:ascii="Palatino Linotype" w:hAnsi="Palatino Linotype"/>
                <w:sz w:val="22"/>
                <w:szCs w:val="22"/>
                <w:lang w:val="en-US"/>
              </w:rPr>
            </w:pPr>
          </w:p>
          <w:p w:rsidR="0049257F" w:rsidRPr="00612443" w:rsidRDefault="0049257F" w:rsidP="00373B07">
            <w:pPr>
              <w:jc w:val="center"/>
              <w:rPr>
                <w:rFonts w:ascii="Palatino Linotype" w:hAnsi="Palatino Linotype"/>
                <w:sz w:val="22"/>
                <w:szCs w:val="22"/>
                <w:lang w:val="en-US"/>
              </w:rPr>
            </w:pPr>
            <w:r w:rsidRPr="00612443">
              <w:rPr>
                <w:rFonts w:ascii="Palatino Linotype" w:hAnsi="Palatino Linotype"/>
                <w:sz w:val="22"/>
                <w:szCs w:val="22"/>
                <w:lang w:val="en-US"/>
              </w:rPr>
              <w:t>Table 1</w:t>
            </w:r>
            <w:r w:rsidR="00373B07">
              <w:rPr>
                <w:rFonts w:ascii="Palatino Linotype" w:hAnsi="Palatino Linotype"/>
                <w:sz w:val="22"/>
                <w:szCs w:val="22"/>
                <w:lang w:val="en-US"/>
              </w:rPr>
              <w:t>5</w:t>
            </w:r>
          </w:p>
        </w:tc>
      </w:tr>
      <w:tr w:rsidR="0049257F" w:rsidRPr="00612443" w:rsidTr="0049257F">
        <w:tc>
          <w:tcPr>
            <w:tcW w:w="8978" w:type="dxa"/>
            <w:gridSpan w:val="2"/>
            <w:tcBorders>
              <w:bottom w:val="double" w:sz="4" w:space="0" w:color="auto"/>
            </w:tcBorders>
            <w:vAlign w:val="center"/>
          </w:tcPr>
          <w:p w:rsidR="0049257F" w:rsidRPr="00612443" w:rsidRDefault="0049257F" w:rsidP="0049257F">
            <w:pPr>
              <w:jc w:val="center"/>
              <w:rPr>
                <w:rFonts w:ascii="Palatino Linotype" w:hAnsi="Palatino Linotype"/>
                <w:sz w:val="22"/>
                <w:szCs w:val="22"/>
                <w:lang w:val="en-US"/>
              </w:rPr>
            </w:pPr>
            <w:r w:rsidRPr="00612443">
              <w:rPr>
                <w:rFonts w:ascii="Palatino Linotype" w:hAnsi="Palatino Linotype"/>
                <w:sz w:val="22"/>
                <w:szCs w:val="22"/>
                <w:lang w:val="en-US"/>
              </w:rPr>
              <w:t xml:space="preserve">Variables </w:t>
            </w:r>
            <w:r w:rsidR="00DA5EC2" w:rsidRPr="00612443">
              <w:rPr>
                <w:rFonts w:ascii="Palatino Linotype" w:hAnsi="Palatino Linotype"/>
                <w:sz w:val="22"/>
                <w:szCs w:val="22"/>
                <w:lang w:val="en-US"/>
              </w:rPr>
              <w:t xml:space="preserve">included in the </w:t>
            </w:r>
            <w:r w:rsidRPr="00612443">
              <w:rPr>
                <w:rFonts w:ascii="Palatino Linotype" w:hAnsi="Palatino Linotype"/>
                <w:sz w:val="22"/>
                <w:szCs w:val="22"/>
                <w:lang w:val="en-US"/>
              </w:rPr>
              <w:t xml:space="preserve">VAR </w:t>
            </w:r>
            <w:r w:rsidR="00DA5EC2" w:rsidRPr="00612443">
              <w:rPr>
                <w:rFonts w:ascii="Palatino Linotype" w:hAnsi="Palatino Linotype"/>
                <w:sz w:val="22"/>
                <w:szCs w:val="22"/>
                <w:lang w:val="en-US"/>
              </w:rPr>
              <w:t>ana</w:t>
            </w:r>
            <w:r w:rsidRPr="00612443">
              <w:rPr>
                <w:rFonts w:ascii="Palatino Linotype" w:hAnsi="Palatino Linotype"/>
                <w:sz w:val="22"/>
                <w:szCs w:val="22"/>
                <w:lang w:val="en-US"/>
              </w:rPr>
              <w:t>lysis</w:t>
            </w:r>
          </w:p>
        </w:tc>
      </w:tr>
      <w:tr w:rsidR="0049257F" w:rsidRPr="00612443" w:rsidTr="0049257F">
        <w:tc>
          <w:tcPr>
            <w:tcW w:w="4489" w:type="dxa"/>
            <w:tcBorders>
              <w:top w:val="double" w:sz="4" w:space="0" w:color="auto"/>
              <w:bottom w:val="double" w:sz="4" w:space="0" w:color="auto"/>
            </w:tcBorders>
            <w:vAlign w:val="center"/>
          </w:tcPr>
          <w:p w:rsidR="0049257F" w:rsidRPr="00612443" w:rsidRDefault="0049257F" w:rsidP="0049257F">
            <w:pPr>
              <w:jc w:val="center"/>
              <w:rPr>
                <w:rFonts w:ascii="Palatino Linotype" w:hAnsi="Palatino Linotype"/>
                <w:sz w:val="22"/>
                <w:szCs w:val="22"/>
                <w:lang w:val="en-US"/>
              </w:rPr>
            </w:pPr>
            <w:r w:rsidRPr="00612443">
              <w:rPr>
                <w:rFonts w:ascii="Palatino Linotype" w:hAnsi="Palatino Linotype"/>
                <w:sz w:val="22"/>
                <w:szCs w:val="22"/>
                <w:lang w:val="en-US"/>
              </w:rPr>
              <w:t xml:space="preserve">Endogenous </w:t>
            </w:r>
            <w:r w:rsidR="00DA5EC2" w:rsidRPr="00612443">
              <w:rPr>
                <w:rFonts w:ascii="Palatino Linotype" w:hAnsi="Palatino Linotype"/>
                <w:sz w:val="22"/>
                <w:szCs w:val="22"/>
                <w:lang w:val="en-US"/>
              </w:rPr>
              <w:t>variab</w:t>
            </w:r>
            <w:r w:rsidRPr="00612443">
              <w:rPr>
                <w:rFonts w:ascii="Palatino Linotype" w:hAnsi="Palatino Linotype"/>
                <w:sz w:val="22"/>
                <w:szCs w:val="22"/>
                <w:lang w:val="en-US"/>
              </w:rPr>
              <w:t>les</w:t>
            </w:r>
          </w:p>
        </w:tc>
        <w:tc>
          <w:tcPr>
            <w:tcW w:w="4489" w:type="dxa"/>
            <w:tcBorders>
              <w:top w:val="double" w:sz="4" w:space="0" w:color="auto"/>
              <w:bottom w:val="double" w:sz="4" w:space="0" w:color="auto"/>
            </w:tcBorders>
            <w:vAlign w:val="center"/>
          </w:tcPr>
          <w:p w:rsidR="0049257F" w:rsidRPr="00612443" w:rsidRDefault="0049257F" w:rsidP="0049257F">
            <w:pPr>
              <w:jc w:val="center"/>
              <w:rPr>
                <w:rFonts w:ascii="Palatino Linotype" w:hAnsi="Palatino Linotype"/>
                <w:sz w:val="22"/>
                <w:szCs w:val="22"/>
                <w:lang w:val="en-US"/>
              </w:rPr>
            </w:pPr>
            <w:r w:rsidRPr="00612443">
              <w:rPr>
                <w:rFonts w:ascii="Palatino Linotype" w:hAnsi="Palatino Linotype"/>
                <w:sz w:val="22"/>
                <w:szCs w:val="22"/>
                <w:lang w:val="en-US"/>
              </w:rPr>
              <w:t xml:space="preserve">Exogenous </w:t>
            </w:r>
            <w:r w:rsidR="00DA5EC2" w:rsidRPr="00612443">
              <w:rPr>
                <w:rFonts w:ascii="Palatino Linotype" w:hAnsi="Palatino Linotype"/>
                <w:sz w:val="22"/>
                <w:szCs w:val="22"/>
                <w:lang w:val="en-US"/>
              </w:rPr>
              <w:t>variables</w:t>
            </w:r>
          </w:p>
        </w:tc>
      </w:tr>
      <w:tr w:rsidR="0049257F" w:rsidRPr="00612443" w:rsidTr="0072263D">
        <w:tc>
          <w:tcPr>
            <w:tcW w:w="4489" w:type="dxa"/>
            <w:tcBorders>
              <w:top w:val="double" w:sz="4" w:space="0" w:color="auto"/>
            </w:tcBorders>
          </w:tcPr>
          <w:p w:rsidR="0049257F" w:rsidRPr="00612443" w:rsidRDefault="0049257F" w:rsidP="0072263D">
            <w:pPr>
              <w:jc w:val="center"/>
              <w:rPr>
                <w:rFonts w:ascii="Palatino Linotype" w:hAnsi="Palatino Linotype"/>
                <w:sz w:val="22"/>
                <w:szCs w:val="22"/>
                <w:lang w:val="en-US"/>
              </w:rPr>
            </w:pPr>
            <w:r w:rsidRPr="00612443">
              <w:rPr>
                <w:rFonts w:ascii="Palatino Linotype" w:hAnsi="Palatino Linotype"/>
                <w:position w:val="-12"/>
                <w:sz w:val="22"/>
                <w:szCs w:val="22"/>
                <w:lang w:val="en-US"/>
              </w:rPr>
              <w:object w:dxaOrig="620" w:dyaOrig="380">
                <v:shape id="_x0000_i1050" type="#_x0000_t75" style="width:31.5pt;height:18.75pt" o:ole="">
                  <v:imagedata r:id="rId78" o:title=""/>
                </v:shape>
                <o:OLEObject Type="Embed" ProgID="Equation.DSMT4" ShapeID="_x0000_i1050" DrawAspect="Content" ObjectID="_1552495486" r:id="rId79"/>
              </w:object>
            </w:r>
          </w:p>
        </w:tc>
        <w:tc>
          <w:tcPr>
            <w:tcW w:w="4489" w:type="dxa"/>
            <w:tcBorders>
              <w:top w:val="double" w:sz="4" w:space="0" w:color="auto"/>
            </w:tcBorders>
          </w:tcPr>
          <w:p w:rsidR="0049257F" w:rsidRPr="00612443" w:rsidRDefault="0049257F" w:rsidP="0072263D">
            <w:pPr>
              <w:jc w:val="center"/>
              <w:rPr>
                <w:rFonts w:ascii="Palatino Linotype" w:hAnsi="Palatino Linotype"/>
                <w:sz w:val="22"/>
                <w:szCs w:val="22"/>
                <w:lang w:val="en-US"/>
              </w:rPr>
            </w:pPr>
            <w:r w:rsidRPr="00612443">
              <w:rPr>
                <w:rFonts w:ascii="Palatino Linotype" w:hAnsi="Palatino Linotype"/>
                <w:position w:val="-12"/>
                <w:sz w:val="22"/>
                <w:szCs w:val="22"/>
                <w:lang w:val="en-US"/>
              </w:rPr>
              <w:object w:dxaOrig="639" w:dyaOrig="360">
                <v:shape id="_x0000_i1051" type="#_x0000_t75" style="width:32.25pt;height:18pt" o:ole="">
                  <v:imagedata r:id="rId80" o:title=""/>
                </v:shape>
                <o:OLEObject Type="Embed" ProgID="Equation.DSMT4" ShapeID="_x0000_i1051" DrawAspect="Content" ObjectID="_1552495487" r:id="rId81"/>
              </w:object>
            </w:r>
          </w:p>
        </w:tc>
      </w:tr>
      <w:tr w:rsidR="0049257F" w:rsidRPr="00612443" w:rsidTr="0072263D">
        <w:tc>
          <w:tcPr>
            <w:tcW w:w="4489" w:type="dxa"/>
          </w:tcPr>
          <w:p w:rsidR="0049257F" w:rsidRPr="00612443" w:rsidRDefault="0049257F" w:rsidP="0072263D">
            <w:pPr>
              <w:jc w:val="center"/>
              <w:rPr>
                <w:rFonts w:ascii="Palatino Linotype" w:hAnsi="Palatino Linotype"/>
                <w:sz w:val="22"/>
                <w:szCs w:val="22"/>
                <w:lang w:val="en-US"/>
              </w:rPr>
            </w:pPr>
            <w:r w:rsidRPr="00612443">
              <w:rPr>
                <w:rFonts w:ascii="Palatino Linotype" w:hAnsi="Palatino Linotype"/>
                <w:position w:val="-12"/>
                <w:sz w:val="22"/>
                <w:szCs w:val="22"/>
                <w:lang w:val="en-US"/>
              </w:rPr>
              <w:object w:dxaOrig="360" w:dyaOrig="360">
                <v:shape id="_x0000_i1052" type="#_x0000_t75" style="width:18pt;height:18pt" o:ole="">
                  <v:imagedata r:id="rId82" o:title=""/>
                </v:shape>
                <o:OLEObject Type="Embed" ProgID="Equation.DSMT4" ShapeID="_x0000_i1052" DrawAspect="Content" ObjectID="_1552495488" r:id="rId83"/>
              </w:object>
            </w:r>
          </w:p>
        </w:tc>
        <w:tc>
          <w:tcPr>
            <w:tcW w:w="4489" w:type="dxa"/>
          </w:tcPr>
          <w:p w:rsidR="0049257F" w:rsidRPr="00612443" w:rsidRDefault="0049257F" w:rsidP="0072263D">
            <w:pPr>
              <w:jc w:val="center"/>
              <w:rPr>
                <w:rFonts w:ascii="Palatino Linotype" w:hAnsi="Palatino Linotype"/>
                <w:sz w:val="22"/>
                <w:szCs w:val="22"/>
                <w:lang w:val="en-US"/>
              </w:rPr>
            </w:pPr>
            <w:r w:rsidRPr="00612443">
              <w:rPr>
                <w:rFonts w:ascii="Palatino Linotype" w:hAnsi="Palatino Linotype"/>
                <w:position w:val="-12"/>
                <w:sz w:val="22"/>
                <w:szCs w:val="22"/>
                <w:lang w:val="en-US"/>
              </w:rPr>
              <w:object w:dxaOrig="520" w:dyaOrig="360">
                <v:shape id="_x0000_i1053" type="#_x0000_t75" style="width:26.25pt;height:18pt" o:ole="">
                  <v:imagedata r:id="rId84" o:title=""/>
                </v:shape>
                <o:OLEObject Type="Embed" ProgID="Equation.DSMT4" ShapeID="_x0000_i1053" DrawAspect="Content" ObjectID="_1552495489" r:id="rId85"/>
              </w:object>
            </w:r>
          </w:p>
        </w:tc>
      </w:tr>
      <w:tr w:rsidR="0049257F" w:rsidRPr="00612443" w:rsidTr="0072263D">
        <w:tc>
          <w:tcPr>
            <w:tcW w:w="4489" w:type="dxa"/>
            <w:tcBorders>
              <w:bottom w:val="double" w:sz="4" w:space="0" w:color="auto"/>
            </w:tcBorders>
          </w:tcPr>
          <w:p w:rsidR="0049257F" w:rsidRPr="00612443" w:rsidRDefault="0049257F" w:rsidP="0072263D">
            <w:pPr>
              <w:jc w:val="center"/>
              <w:rPr>
                <w:rFonts w:ascii="Palatino Linotype" w:hAnsi="Palatino Linotype"/>
                <w:sz w:val="22"/>
                <w:szCs w:val="22"/>
                <w:lang w:val="en-US"/>
              </w:rPr>
            </w:pPr>
            <w:r w:rsidRPr="00612443">
              <w:rPr>
                <w:rFonts w:ascii="Palatino Linotype" w:hAnsi="Palatino Linotype"/>
                <w:position w:val="-12"/>
                <w:sz w:val="22"/>
                <w:szCs w:val="22"/>
                <w:lang w:val="en-US"/>
              </w:rPr>
              <w:object w:dxaOrig="260" w:dyaOrig="360">
                <v:shape id="_x0000_i1054" type="#_x0000_t75" style="width:13.5pt;height:18pt" o:ole="">
                  <v:imagedata r:id="rId86" o:title=""/>
                </v:shape>
                <o:OLEObject Type="Embed" ProgID="Equation.DSMT4" ShapeID="_x0000_i1054" DrawAspect="Content" ObjectID="_1552495490" r:id="rId87"/>
              </w:object>
            </w:r>
          </w:p>
        </w:tc>
        <w:tc>
          <w:tcPr>
            <w:tcW w:w="4489" w:type="dxa"/>
            <w:tcBorders>
              <w:bottom w:val="double" w:sz="4" w:space="0" w:color="auto"/>
            </w:tcBorders>
          </w:tcPr>
          <w:p w:rsidR="0049257F" w:rsidRPr="00612443" w:rsidRDefault="0049257F" w:rsidP="0072263D">
            <w:pPr>
              <w:jc w:val="center"/>
              <w:rPr>
                <w:rFonts w:ascii="Palatino Linotype" w:hAnsi="Palatino Linotype"/>
                <w:sz w:val="22"/>
                <w:szCs w:val="22"/>
                <w:lang w:val="en-US"/>
              </w:rPr>
            </w:pPr>
            <w:r w:rsidRPr="00612443">
              <w:rPr>
                <w:rFonts w:ascii="Palatino Linotype" w:hAnsi="Palatino Linotype"/>
                <w:position w:val="-12"/>
                <w:sz w:val="22"/>
                <w:szCs w:val="22"/>
                <w:lang w:val="en-US"/>
              </w:rPr>
              <w:object w:dxaOrig="540" w:dyaOrig="360">
                <v:shape id="_x0000_i1055" type="#_x0000_t75" style="width:27pt;height:18pt" o:ole="">
                  <v:imagedata r:id="rId88" o:title=""/>
                </v:shape>
                <o:OLEObject Type="Embed" ProgID="Equation.DSMT4" ShapeID="_x0000_i1055" DrawAspect="Content" ObjectID="_1552495491" r:id="rId89"/>
              </w:object>
            </w:r>
          </w:p>
          <w:p w:rsidR="0049257F" w:rsidRPr="00612443" w:rsidRDefault="0049257F" w:rsidP="0072263D">
            <w:pPr>
              <w:jc w:val="center"/>
              <w:rPr>
                <w:rFonts w:ascii="Palatino Linotype" w:hAnsi="Palatino Linotype"/>
                <w:sz w:val="22"/>
                <w:szCs w:val="22"/>
                <w:lang w:val="en-US"/>
              </w:rPr>
            </w:pPr>
            <w:r w:rsidRPr="00612443">
              <w:rPr>
                <w:rFonts w:ascii="Palatino Linotype" w:hAnsi="Palatino Linotype"/>
                <w:position w:val="-12"/>
                <w:sz w:val="22"/>
                <w:szCs w:val="22"/>
                <w:lang w:val="en-US"/>
              </w:rPr>
              <w:object w:dxaOrig="420" w:dyaOrig="360">
                <v:shape id="_x0000_i1056" type="#_x0000_t75" style="width:21.75pt;height:18pt" o:ole="">
                  <v:imagedata r:id="rId90" o:title=""/>
                </v:shape>
                <o:OLEObject Type="Embed" ProgID="Equation.DSMT4" ShapeID="_x0000_i1056" DrawAspect="Content" ObjectID="_1552495492" r:id="rId91"/>
              </w:object>
            </w:r>
          </w:p>
        </w:tc>
      </w:tr>
    </w:tbl>
    <w:p w:rsidR="0049257F" w:rsidRPr="00612443" w:rsidRDefault="0049257F" w:rsidP="0049257F">
      <w:pPr>
        <w:rPr>
          <w:rFonts w:ascii="Palatino Linotype" w:hAnsi="Palatino Linotype"/>
          <w:sz w:val="22"/>
          <w:szCs w:val="22"/>
          <w:lang w:val="en-US"/>
        </w:rPr>
      </w:pPr>
    </w:p>
    <w:p w:rsidR="00D67271" w:rsidRPr="00612443" w:rsidRDefault="0049257F">
      <w:pPr>
        <w:ind w:firstLine="300"/>
        <w:rPr>
          <w:rFonts w:ascii="Palatino Linotype" w:hAnsi="Palatino Linotype"/>
          <w:sz w:val="22"/>
          <w:szCs w:val="22"/>
          <w:lang w:val="en-US"/>
        </w:rPr>
      </w:pPr>
      <w:r w:rsidRPr="00612443">
        <w:rPr>
          <w:rFonts w:ascii="Palatino Linotype" w:hAnsi="Palatino Linotype"/>
          <w:sz w:val="22"/>
          <w:szCs w:val="22"/>
          <w:lang w:val="en-US"/>
        </w:rPr>
        <w:t>w</w:t>
      </w:r>
      <w:r w:rsidR="000D18E6" w:rsidRPr="00612443">
        <w:rPr>
          <w:rFonts w:ascii="Palatino Linotype" w:hAnsi="Palatino Linotype"/>
          <w:sz w:val="22"/>
          <w:szCs w:val="22"/>
          <w:lang w:val="en-US"/>
        </w:rPr>
        <w:t>here</w:t>
      </w:r>
      <w:r w:rsidRPr="00612443">
        <w:rPr>
          <w:rFonts w:ascii="Palatino Linotype" w:hAnsi="Palatino Linotype"/>
          <w:sz w:val="22"/>
          <w:szCs w:val="22"/>
          <w:lang w:val="en-US"/>
        </w:rPr>
        <w:t>:</w:t>
      </w:r>
    </w:p>
    <w:p w:rsidR="00394137" w:rsidRPr="00612443" w:rsidRDefault="00394137">
      <w:pPr>
        <w:ind w:firstLine="300"/>
        <w:rPr>
          <w:rFonts w:ascii="Palatino Linotype" w:hAnsi="Palatino Linotype"/>
          <w:sz w:val="22"/>
          <w:szCs w:val="22"/>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088"/>
      </w:tblGrid>
      <w:tr w:rsidR="0049257F" w:rsidRPr="00612443" w:rsidTr="00394137">
        <w:tc>
          <w:tcPr>
            <w:tcW w:w="1242" w:type="dxa"/>
            <w:vAlign w:val="center"/>
          </w:tcPr>
          <w:p w:rsidR="0049257F" w:rsidRPr="00612443" w:rsidRDefault="0049257F" w:rsidP="0049257F">
            <w:pPr>
              <w:jc w:val="right"/>
              <w:rPr>
                <w:rFonts w:ascii="Palatino Linotype" w:hAnsi="Palatino Linotype"/>
                <w:sz w:val="22"/>
                <w:szCs w:val="22"/>
                <w:lang w:val="en-US"/>
              </w:rPr>
            </w:pPr>
            <w:r w:rsidRPr="00612443">
              <w:rPr>
                <w:rFonts w:ascii="Palatino Linotype" w:hAnsi="Palatino Linotype"/>
                <w:position w:val="-12"/>
                <w:sz w:val="22"/>
                <w:szCs w:val="22"/>
                <w:lang w:val="en-US"/>
              </w:rPr>
              <w:object w:dxaOrig="620" w:dyaOrig="380">
                <v:shape id="_x0000_i1057" type="#_x0000_t75" style="width:31.5pt;height:18.75pt" o:ole="">
                  <v:imagedata r:id="rId78" o:title=""/>
                </v:shape>
                <o:OLEObject Type="Embed" ProgID="Equation.DSMT4" ShapeID="_x0000_i1057" DrawAspect="Content" ObjectID="_1552495493" r:id="rId92"/>
              </w:object>
            </w:r>
            <w:r w:rsidRPr="00612443">
              <w:rPr>
                <w:rFonts w:ascii="Palatino Linotype" w:hAnsi="Palatino Linotype"/>
                <w:sz w:val="22"/>
                <w:szCs w:val="22"/>
                <w:lang w:val="en-US"/>
              </w:rPr>
              <w:t>:</w:t>
            </w:r>
          </w:p>
        </w:tc>
        <w:tc>
          <w:tcPr>
            <w:tcW w:w="7088" w:type="dxa"/>
            <w:vAlign w:val="center"/>
          </w:tcPr>
          <w:p w:rsidR="0049257F" w:rsidRPr="00612443" w:rsidRDefault="00394137" w:rsidP="0072263D">
            <w:pPr>
              <w:jc w:val="left"/>
              <w:rPr>
                <w:rFonts w:ascii="Palatino Linotype" w:hAnsi="Palatino Linotype"/>
                <w:sz w:val="22"/>
                <w:szCs w:val="22"/>
                <w:lang w:val="en-US"/>
              </w:rPr>
            </w:pPr>
            <w:r w:rsidRPr="00612443">
              <w:rPr>
                <w:rFonts w:ascii="Palatino Linotype" w:hAnsi="Palatino Linotype"/>
                <w:sz w:val="22"/>
                <w:szCs w:val="22"/>
                <w:lang w:val="en-US"/>
              </w:rPr>
              <w:t>Inflation expectations decile</w:t>
            </w:r>
            <w:r w:rsidR="0072263D" w:rsidRPr="00612443">
              <w:rPr>
                <w:rFonts w:ascii="Palatino Linotype" w:hAnsi="Palatino Linotype"/>
                <w:sz w:val="22"/>
                <w:szCs w:val="22"/>
                <w:lang w:val="en-US"/>
              </w:rPr>
              <w:t xml:space="preserve"> </w:t>
            </w:r>
            <w:r w:rsidR="0072263D" w:rsidRPr="00612443">
              <w:rPr>
                <w:rFonts w:ascii="Palatino Linotype" w:hAnsi="Palatino Linotype"/>
                <w:position w:val="-10"/>
                <w:sz w:val="22"/>
                <w:szCs w:val="22"/>
                <w:lang w:val="en-US"/>
              </w:rPr>
              <w:object w:dxaOrig="1080" w:dyaOrig="320">
                <v:shape id="_x0000_i1058" type="#_x0000_t75" style="width:54pt;height:16.5pt" o:ole="">
                  <v:imagedata r:id="rId93" o:title=""/>
                </v:shape>
                <o:OLEObject Type="Embed" ProgID="Equation.DSMT4" ShapeID="_x0000_i1058" DrawAspect="Content" ObjectID="_1552495494" r:id="rId94"/>
              </w:object>
            </w:r>
            <w:r w:rsidRPr="00612443">
              <w:rPr>
                <w:rFonts w:ascii="Palatino Linotype" w:hAnsi="Palatino Linotype"/>
                <w:sz w:val="22"/>
                <w:szCs w:val="22"/>
                <w:lang w:val="en-US"/>
              </w:rPr>
              <w:t xml:space="preserve"> at time </w:t>
            </w:r>
            <w:r w:rsidRPr="00612443">
              <w:rPr>
                <w:rFonts w:ascii="Palatino Linotype" w:hAnsi="Palatino Linotype"/>
                <w:i/>
                <w:sz w:val="22"/>
                <w:szCs w:val="22"/>
                <w:lang w:val="en-US"/>
              </w:rPr>
              <w:t>t</w:t>
            </w:r>
            <w:r w:rsidRPr="00612443">
              <w:rPr>
                <w:rFonts w:ascii="Palatino Linotype" w:hAnsi="Palatino Linotype"/>
                <w:sz w:val="22"/>
                <w:szCs w:val="22"/>
                <w:lang w:val="en-US"/>
              </w:rPr>
              <w:t xml:space="preserve"> for horizon </w:t>
            </w:r>
            <w:r w:rsidRPr="00612443">
              <w:rPr>
                <w:rFonts w:ascii="Palatino Linotype" w:hAnsi="Palatino Linotype"/>
                <w:i/>
                <w:sz w:val="22"/>
                <w:szCs w:val="22"/>
                <w:lang w:val="en-US"/>
              </w:rPr>
              <w:t>t+h</w:t>
            </w:r>
          </w:p>
        </w:tc>
      </w:tr>
      <w:tr w:rsidR="0049257F" w:rsidRPr="00612443" w:rsidTr="00394137">
        <w:tc>
          <w:tcPr>
            <w:tcW w:w="1242" w:type="dxa"/>
            <w:vAlign w:val="center"/>
          </w:tcPr>
          <w:p w:rsidR="0049257F" w:rsidRPr="00612443" w:rsidRDefault="0049257F" w:rsidP="0049257F">
            <w:pPr>
              <w:jc w:val="right"/>
              <w:rPr>
                <w:rFonts w:ascii="Palatino Linotype" w:hAnsi="Palatino Linotype"/>
                <w:sz w:val="22"/>
                <w:szCs w:val="22"/>
                <w:lang w:val="en-US"/>
              </w:rPr>
            </w:pPr>
            <w:r w:rsidRPr="00612443">
              <w:rPr>
                <w:rFonts w:ascii="Palatino Linotype" w:hAnsi="Palatino Linotype"/>
                <w:position w:val="-12"/>
                <w:sz w:val="22"/>
                <w:szCs w:val="22"/>
                <w:lang w:val="en-US"/>
              </w:rPr>
              <w:object w:dxaOrig="360" w:dyaOrig="360">
                <v:shape id="_x0000_i1059" type="#_x0000_t75" style="width:18pt;height:18pt" o:ole="">
                  <v:imagedata r:id="rId82" o:title=""/>
                </v:shape>
                <o:OLEObject Type="Embed" ProgID="Equation.DSMT4" ShapeID="_x0000_i1059" DrawAspect="Content" ObjectID="_1552495495" r:id="rId95"/>
              </w:object>
            </w:r>
            <w:r w:rsidRPr="00612443">
              <w:rPr>
                <w:rFonts w:ascii="Palatino Linotype" w:hAnsi="Palatino Linotype"/>
                <w:sz w:val="22"/>
                <w:szCs w:val="22"/>
                <w:lang w:val="en-US"/>
              </w:rPr>
              <w:t>:</w:t>
            </w:r>
          </w:p>
        </w:tc>
        <w:tc>
          <w:tcPr>
            <w:tcW w:w="7088" w:type="dxa"/>
            <w:vAlign w:val="center"/>
          </w:tcPr>
          <w:p w:rsidR="0049257F" w:rsidRPr="00612443" w:rsidRDefault="00394137" w:rsidP="00394137">
            <w:pPr>
              <w:jc w:val="left"/>
              <w:rPr>
                <w:rFonts w:ascii="Palatino Linotype" w:hAnsi="Palatino Linotype"/>
                <w:sz w:val="22"/>
                <w:szCs w:val="22"/>
                <w:lang w:val="en-US"/>
              </w:rPr>
            </w:pPr>
            <w:r w:rsidRPr="00612443">
              <w:rPr>
                <w:rFonts w:ascii="Palatino Linotype" w:hAnsi="Palatino Linotype"/>
                <w:sz w:val="22"/>
                <w:szCs w:val="22"/>
                <w:lang w:val="en-US"/>
              </w:rPr>
              <w:t xml:space="preserve">Monthly </w:t>
            </w:r>
            <w:r w:rsidR="002A033E" w:rsidRPr="00612443">
              <w:rPr>
                <w:rFonts w:ascii="Palatino Linotype" w:hAnsi="Palatino Linotype"/>
                <w:sz w:val="22"/>
                <w:szCs w:val="22"/>
                <w:lang w:val="en-US"/>
              </w:rPr>
              <w:t>interv</w:t>
            </w:r>
            <w:r w:rsidRPr="00612443">
              <w:rPr>
                <w:rFonts w:ascii="Palatino Linotype" w:hAnsi="Palatino Linotype"/>
                <w:sz w:val="22"/>
                <w:szCs w:val="22"/>
                <w:lang w:val="en-US"/>
              </w:rPr>
              <w:t>entions in billions of US dollars</w:t>
            </w:r>
          </w:p>
        </w:tc>
      </w:tr>
      <w:tr w:rsidR="0049257F" w:rsidRPr="00612443" w:rsidTr="00394137">
        <w:tc>
          <w:tcPr>
            <w:tcW w:w="1242" w:type="dxa"/>
            <w:vAlign w:val="center"/>
          </w:tcPr>
          <w:p w:rsidR="0049257F" w:rsidRPr="00612443" w:rsidRDefault="0049257F" w:rsidP="0049257F">
            <w:pPr>
              <w:jc w:val="right"/>
              <w:rPr>
                <w:rFonts w:ascii="Palatino Linotype" w:hAnsi="Palatino Linotype"/>
                <w:sz w:val="22"/>
                <w:szCs w:val="22"/>
                <w:lang w:val="en-US"/>
              </w:rPr>
            </w:pPr>
            <w:r w:rsidRPr="00612443">
              <w:rPr>
                <w:rFonts w:ascii="Palatino Linotype" w:hAnsi="Palatino Linotype"/>
                <w:position w:val="-12"/>
                <w:sz w:val="22"/>
                <w:szCs w:val="22"/>
                <w:lang w:val="en-US"/>
              </w:rPr>
              <w:object w:dxaOrig="260" w:dyaOrig="360">
                <v:shape id="_x0000_i1060" type="#_x0000_t75" style="width:13.5pt;height:18pt" o:ole="">
                  <v:imagedata r:id="rId86" o:title=""/>
                </v:shape>
                <o:OLEObject Type="Embed" ProgID="Equation.DSMT4" ShapeID="_x0000_i1060" DrawAspect="Content" ObjectID="_1552495496" r:id="rId96"/>
              </w:object>
            </w:r>
            <w:r w:rsidRPr="00612443">
              <w:rPr>
                <w:rFonts w:ascii="Palatino Linotype" w:hAnsi="Palatino Linotype"/>
                <w:sz w:val="22"/>
                <w:szCs w:val="22"/>
                <w:lang w:val="en-US"/>
              </w:rPr>
              <w:t>:</w:t>
            </w:r>
          </w:p>
        </w:tc>
        <w:tc>
          <w:tcPr>
            <w:tcW w:w="7088" w:type="dxa"/>
            <w:vAlign w:val="center"/>
          </w:tcPr>
          <w:p w:rsidR="0049257F" w:rsidRPr="00612443" w:rsidRDefault="00394137" w:rsidP="00394137">
            <w:pPr>
              <w:jc w:val="left"/>
              <w:rPr>
                <w:rFonts w:ascii="Palatino Linotype" w:hAnsi="Palatino Linotype"/>
                <w:sz w:val="22"/>
                <w:szCs w:val="22"/>
                <w:lang w:val="en-US"/>
              </w:rPr>
            </w:pPr>
            <w:r w:rsidRPr="00612443">
              <w:rPr>
                <w:rFonts w:ascii="Palatino Linotype" w:hAnsi="Palatino Linotype"/>
                <w:sz w:val="22"/>
                <w:szCs w:val="22"/>
                <w:lang w:val="en-US"/>
              </w:rPr>
              <w:t xml:space="preserve">Year-on-year CPI </w:t>
            </w:r>
            <w:r w:rsidR="002A033E" w:rsidRPr="00612443">
              <w:rPr>
                <w:rFonts w:ascii="Palatino Linotype" w:hAnsi="Palatino Linotype"/>
                <w:sz w:val="22"/>
                <w:szCs w:val="22"/>
                <w:lang w:val="en-US"/>
              </w:rPr>
              <w:t>i</w:t>
            </w:r>
            <w:r w:rsidRPr="00612443">
              <w:rPr>
                <w:rFonts w:ascii="Palatino Linotype" w:hAnsi="Palatino Linotype"/>
                <w:sz w:val="22"/>
                <w:szCs w:val="22"/>
                <w:lang w:val="en-US"/>
              </w:rPr>
              <w:t>nflation rate</w:t>
            </w:r>
          </w:p>
        </w:tc>
      </w:tr>
      <w:tr w:rsidR="0049257F" w:rsidRPr="00612443" w:rsidTr="00394137">
        <w:tc>
          <w:tcPr>
            <w:tcW w:w="1242" w:type="dxa"/>
            <w:vAlign w:val="center"/>
          </w:tcPr>
          <w:p w:rsidR="0049257F" w:rsidRPr="00612443" w:rsidRDefault="0049257F" w:rsidP="0049257F">
            <w:pPr>
              <w:jc w:val="right"/>
              <w:rPr>
                <w:rFonts w:ascii="Palatino Linotype" w:hAnsi="Palatino Linotype"/>
                <w:sz w:val="22"/>
                <w:szCs w:val="22"/>
                <w:lang w:val="en-US"/>
              </w:rPr>
            </w:pPr>
            <w:r w:rsidRPr="00612443">
              <w:rPr>
                <w:rFonts w:ascii="Palatino Linotype" w:hAnsi="Palatino Linotype"/>
                <w:position w:val="-12"/>
                <w:sz w:val="22"/>
                <w:szCs w:val="22"/>
                <w:lang w:val="en-US"/>
              </w:rPr>
              <w:object w:dxaOrig="639" w:dyaOrig="360">
                <v:shape id="_x0000_i1061" type="#_x0000_t75" style="width:32.25pt;height:18pt" o:ole="">
                  <v:imagedata r:id="rId80" o:title=""/>
                </v:shape>
                <o:OLEObject Type="Embed" ProgID="Equation.DSMT4" ShapeID="_x0000_i1061" DrawAspect="Content" ObjectID="_1552495497" r:id="rId97"/>
              </w:object>
            </w:r>
            <w:r w:rsidRPr="00612443">
              <w:rPr>
                <w:rFonts w:ascii="Palatino Linotype" w:hAnsi="Palatino Linotype"/>
                <w:sz w:val="22"/>
                <w:szCs w:val="22"/>
                <w:lang w:val="en-US"/>
              </w:rPr>
              <w:t>:</w:t>
            </w:r>
          </w:p>
        </w:tc>
        <w:tc>
          <w:tcPr>
            <w:tcW w:w="7088" w:type="dxa"/>
            <w:vAlign w:val="center"/>
          </w:tcPr>
          <w:p w:rsidR="0049257F" w:rsidRPr="00612443" w:rsidRDefault="00394137" w:rsidP="00394137">
            <w:pPr>
              <w:jc w:val="left"/>
              <w:rPr>
                <w:rFonts w:ascii="Palatino Linotype" w:hAnsi="Palatino Linotype"/>
                <w:sz w:val="22"/>
                <w:szCs w:val="22"/>
                <w:lang w:val="en-US"/>
              </w:rPr>
            </w:pPr>
            <w:r w:rsidRPr="00612443">
              <w:rPr>
                <w:rFonts w:ascii="Palatino Linotype" w:hAnsi="Palatino Linotype"/>
                <w:sz w:val="22"/>
                <w:szCs w:val="22"/>
                <w:lang w:val="en-US"/>
              </w:rPr>
              <w:t xml:space="preserve">Year-on-year </w:t>
            </w:r>
            <w:r w:rsidR="002A033E" w:rsidRPr="00612443">
              <w:rPr>
                <w:rFonts w:ascii="Palatino Linotype" w:hAnsi="Palatino Linotype"/>
                <w:sz w:val="22"/>
                <w:szCs w:val="22"/>
                <w:lang w:val="en-US"/>
              </w:rPr>
              <w:t xml:space="preserve">food price index </w:t>
            </w:r>
            <w:r w:rsidRPr="00612443">
              <w:rPr>
                <w:rFonts w:ascii="Palatino Linotype" w:hAnsi="Palatino Linotype"/>
                <w:sz w:val="22"/>
                <w:szCs w:val="22"/>
                <w:lang w:val="en-US"/>
              </w:rPr>
              <w:t>inflation rate</w:t>
            </w:r>
          </w:p>
        </w:tc>
      </w:tr>
      <w:tr w:rsidR="0049257F" w:rsidRPr="00612443" w:rsidTr="00394137">
        <w:tc>
          <w:tcPr>
            <w:tcW w:w="1242" w:type="dxa"/>
            <w:vAlign w:val="center"/>
          </w:tcPr>
          <w:p w:rsidR="0049257F" w:rsidRPr="00612443" w:rsidRDefault="0049257F" w:rsidP="0049257F">
            <w:pPr>
              <w:jc w:val="right"/>
              <w:rPr>
                <w:rFonts w:ascii="Palatino Linotype" w:hAnsi="Palatino Linotype"/>
                <w:sz w:val="22"/>
                <w:szCs w:val="22"/>
                <w:lang w:val="en-US"/>
              </w:rPr>
            </w:pPr>
            <w:r w:rsidRPr="00612443">
              <w:rPr>
                <w:rFonts w:ascii="Palatino Linotype" w:hAnsi="Palatino Linotype"/>
                <w:position w:val="-12"/>
                <w:sz w:val="22"/>
                <w:szCs w:val="22"/>
                <w:lang w:val="en-US"/>
              </w:rPr>
              <w:object w:dxaOrig="520" w:dyaOrig="360">
                <v:shape id="_x0000_i1062" type="#_x0000_t75" style="width:26.25pt;height:18pt" o:ole="">
                  <v:imagedata r:id="rId84" o:title=""/>
                </v:shape>
                <o:OLEObject Type="Embed" ProgID="Equation.DSMT4" ShapeID="_x0000_i1062" DrawAspect="Content" ObjectID="_1552495498" r:id="rId98"/>
              </w:object>
            </w:r>
            <w:r w:rsidRPr="00612443">
              <w:rPr>
                <w:rFonts w:ascii="Palatino Linotype" w:hAnsi="Palatino Linotype"/>
                <w:sz w:val="22"/>
                <w:szCs w:val="22"/>
                <w:lang w:val="en-US"/>
              </w:rPr>
              <w:t>:</w:t>
            </w:r>
          </w:p>
        </w:tc>
        <w:tc>
          <w:tcPr>
            <w:tcW w:w="7088" w:type="dxa"/>
            <w:vAlign w:val="center"/>
          </w:tcPr>
          <w:p w:rsidR="0049257F" w:rsidRPr="00612443" w:rsidRDefault="00394137" w:rsidP="0072263D">
            <w:pPr>
              <w:jc w:val="left"/>
              <w:rPr>
                <w:rFonts w:ascii="Palatino Linotype" w:hAnsi="Palatino Linotype"/>
                <w:sz w:val="22"/>
                <w:szCs w:val="22"/>
                <w:lang w:val="en-US"/>
              </w:rPr>
            </w:pPr>
            <w:r w:rsidRPr="00612443">
              <w:rPr>
                <w:rFonts w:ascii="Palatino Linotype" w:hAnsi="Palatino Linotype"/>
                <w:sz w:val="22"/>
                <w:szCs w:val="22"/>
                <w:lang w:val="en-US"/>
              </w:rPr>
              <w:t xml:space="preserve">Monthly </w:t>
            </w:r>
            <w:r w:rsidR="002A033E" w:rsidRPr="00612443">
              <w:rPr>
                <w:rFonts w:ascii="Palatino Linotype" w:hAnsi="Palatino Linotype"/>
                <w:sz w:val="22"/>
                <w:szCs w:val="22"/>
                <w:lang w:val="en-US"/>
              </w:rPr>
              <w:t xml:space="preserve">average of the </w:t>
            </w:r>
            <w:r w:rsidRPr="00612443">
              <w:rPr>
                <w:rFonts w:ascii="Palatino Linotype" w:hAnsi="Palatino Linotype"/>
                <w:sz w:val="22"/>
                <w:szCs w:val="22"/>
                <w:lang w:val="en-US"/>
              </w:rPr>
              <w:t>Federal Reserv</w:t>
            </w:r>
            <w:r w:rsidR="0072263D" w:rsidRPr="00612443">
              <w:rPr>
                <w:rFonts w:ascii="Palatino Linotype" w:hAnsi="Palatino Linotype"/>
                <w:sz w:val="22"/>
                <w:szCs w:val="22"/>
                <w:lang w:val="en-US"/>
              </w:rPr>
              <w:t>e</w:t>
            </w:r>
            <w:r w:rsidRPr="00612443">
              <w:rPr>
                <w:rFonts w:ascii="Palatino Linotype" w:hAnsi="Palatino Linotype"/>
                <w:sz w:val="22"/>
                <w:szCs w:val="22"/>
                <w:lang w:val="en-US"/>
              </w:rPr>
              <w:t xml:space="preserve"> Funds Rate</w:t>
            </w:r>
          </w:p>
        </w:tc>
      </w:tr>
      <w:tr w:rsidR="0049257F" w:rsidRPr="00612443" w:rsidTr="00394137">
        <w:tc>
          <w:tcPr>
            <w:tcW w:w="1242" w:type="dxa"/>
            <w:vAlign w:val="center"/>
          </w:tcPr>
          <w:p w:rsidR="0049257F" w:rsidRPr="00612443" w:rsidRDefault="0049257F" w:rsidP="0049257F">
            <w:pPr>
              <w:jc w:val="right"/>
              <w:rPr>
                <w:rFonts w:ascii="Palatino Linotype" w:hAnsi="Palatino Linotype"/>
                <w:sz w:val="22"/>
                <w:szCs w:val="22"/>
                <w:lang w:val="en-US"/>
              </w:rPr>
            </w:pPr>
            <w:r w:rsidRPr="00612443">
              <w:rPr>
                <w:rFonts w:ascii="Palatino Linotype" w:hAnsi="Palatino Linotype"/>
                <w:position w:val="-12"/>
                <w:sz w:val="22"/>
                <w:szCs w:val="22"/>
                <w:lang w:val="en-US"/>
              </w:rPr>
              <w:object w:dxaOrig="540" w:dyaOrig="360">
                <v:shape id="_x0000_i1063" type="#_x0000_t75" style="width:27pt;height:18pt" o:ole="">
                  <v:imagedata r:id="rId88" o:title=""/>
                </v:shape>
                <o:OLEObject Type="Embed" ProgID="Equation.DSMT4" ShapeID="_x0000_i1063" DrawAspect="Content" ObjectID="_1552495499" r:id="rId99"/>
              </w:object>
            </w:r>
            <w:r w:rsidRPr="00612443">
              <w:rPr>
                <w:rFonts w:ascii="Palatino Linotype" w:hAnsi="Palatino Linotype"/>
                <w:sz w:val="22"/>
                <w:szCs w:val="22"/>
                <w:lang w:val="en-US"/>
              </w:rPr>
              <w:t>:</w:t>
            </w:r>
          </w:p>
        </w:tc>
        <w:tc>
          <w:tcPr>
            <w:tcW w:w="7088" w:type="dxa"/>
            <w:vAlign w:val="center"/>
          </w:tcPr>
          <w:p w:rsidR="0049257F" w:rsidRPr="00612443" w:rsidRDefault="00394137" w:rsidP="00394137">
            <w:pPr>
              <w:jc w:val="left"/>
              <w:rPr>
                <w:rFonts w:ascii="Palatino Linotype" w:hAnsi="Palatino Linotype"/>
                <w:sz w:val="22"/>
                <w:szCs w:val="22"/>
                <w:lang w:val="en-US"/>
              </w:rPr>
            </w:pPr>
            <w:r w:rsidRPr="00612443">
              <w:rPr>
                <w:rFonts w:ascii="Palatino Linotype" w:hAnsi="Palatino Linotype"/>
                <w:sz w:val="22"/>
                <w:szCs w:val="22"/>
                <w:lang w:val="en-US"/>
              </w:rPr>
              <w:t>Projection of the nominal Chilean exchange rate according to (2)</w:t>
            </w:r>
          </w:p>
        </w:tc>
      </w:tr>
      <w:tr w:rsidR="0049257F" w:rsidRPr="00612443" w:rsidTr="00394137">
        <w:tc>
          <w:tcPr>
            <w:tcW w:w="1242" w:type="dxa"/>
            <w:vAlign w:val="center"/>
          </w:tcPr>
          <w:p w:rsidR="0049257F" w:rsidRPr="00612443" w:rsidRDefault="0049257F" w:rsidP="0049257F">
            <w:pPr>
              <w:jc w:val="right"/>
              <w:rPr>
                <w:rFonts w:ascii="Palatino Linotype" w:hAnsi="Palatino Linotype"/>
                <w:sz w:val="22"/>
                <w:szCs w:val="22"/>
                <w:lang w:val="en-US"/>
              </w:rPr>
            </w:pPr>
            <w:r w:rsidRPr="00612443">
              <w:rPr>
                <w:rFonts w:ascii="Palatino Linotype" w:hAnsi="Palatino Linotype"/>
                <w:position w:val="-12"/>
                <w:sz w:val="22"/>
                <w:szCs w:val="22"/>
                <w:lang w:val="en-US"/>
              </w:rPr>
              <w:object w:dxaOrig="420" w:dyaOrig="360">
                <v:shape id="_x0000_i1064" type="#_x0000_t75" style="width:21.75pt;height:18pt" o:ole="">
                  <v:imagedata r:id="rId90" o:title=""/>
                </v:shape>
                <o:OLEObject Type="Embed" ProgID="Equation.DSMT4" ShapeID="_x0000_i1064" DrawAspect="Content" ObjectID="_1552495500" r:id="rId100"/>
              </w:object>
            </w:r>
            <w:r w:rsidRPr="00612443">
              <w:rPr>
                <w:rFonts w:ascii="Palatino Linotype" w:hAnsi="Palatino Linotype"/>
                <w:sz w:val="22"/>
                <w:szCs w:val="22"/>
                <w:lang w:val="en-US"/>
              </w:rPr>
              <w:t>:</w:t>
            </w:r>
          </w:p>
        </w:tc>
        <w:tc>
          <w:tcPr>
            <w:tcW w:w="7088" w:type="dxa"/>
            <w:vAlign w:val="center"/>
          </w:tcPr>
          <w:p w:rsidR="0049257F" w:rsidRPr="00612443" w:rsidRDefault="00394137" w:rsidP="00394137">
            <w:pPr>
              <w:jc w:val="left"/>
              <w:rPr>
                <w:rFonts w:ascii="Palatino Linotype" w:hAnsi="Palatino Linotype"/>
                <w:sz w:val="22"/>
                <w:szCs w:val="22"/>
                <w:lang w:val="en-US"/>
              </w:rPr>
            </w:pPr>
            <w:r w:rsidRPr="00612443">
              <w:rPr>
                <w:rFonts w:ascii="Palatino Linotype" w:hAnsi="Palatino Linotype"/>
                <w:sz w:val="22"/>
                <w:szCs w:val="22"/>
                <w:lang w:val="en-US"/>
              </w:rPr>
              <w:t xml:space="preserve">Year-on-year </w:t>
            </w:r>
            <w:r w:rsidR="002A033E" w:rsidRPr="00612443">
              <w:rPr>
                <w:rFonts w:ascii="Palatino Linotype" w:hAnsi="Palatino Linotype"/>
                <w:sz w:val="22"/>
                <w:szCs w:val="22"/>
                <w:lang w:val="en-US"/>
              </w:rPr>
              <w:t>o</w:t>
            </w:r>
            <w:r w:rsidRPr="00612443">
              <w:rPr>
                <w:rFonts w:ascii="Palatino Linotype" w:hAnsi="Palatino Linotype"/>
                <w:sz w:val="22"/>
                <w:szCs w:val="22"/>
                <w:lang w:val="en-US"/>
              </w:rPr>
              <w:t>il price inflation rate.</w:t>
            </w:r>
          </w:p>
        </w:tc>
      </w:tr>
    </w:tbl>
    <w:p w:rsidR="0058159B" w:rsidRPr="00612443" w:rsidRDefault="0058159B">
      <w:pPr>
        <w:ind w:firstLine="300"/>
        <w:rPr>
          <w:rFonts w:ascii="Palatino Linotype" w:hAnsi="Palatino Linotype"/>
          <w:sz w:val="22"/>
          <w:szCs w:val="22"/>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We estimate a VAR(1) with the variables in first differences just as we d</w:t>
      </w:r>
      <w:r w:rsidR="004A3EE7">
        <w:rPr>
          <w:rFonts w:ascii="Palatino Linotype" w:hAnsi="Palatino Linotype"/>
          <w:sz w:val="22"/>
          <w:szCs w:val="22"/>
          <w:lang w:val="en-US"/>
        </w:rPr>
        <w:t>o</w:t>
      </w:r>
      <w:r w:rsidRPr="00612443">
        <w:rPr>
          <w:rFonts w:ascii="Palatino Linotype" w:hAnsi="Palatino Linotype"/>
          <w:sz w:val="22"/>
          <w:szCs w:val="22"/>
          <w:lang w:val="en-US"/>
        </w:rPr>
        <w:t xml:space="preserve"> with the previous exercise (SUR). We consider only a first</w:t>
      </w:r>
      <w:r w:rsidR="00D174C9" w:rsidRPr="00612443">
        <w:rPr>
          <w:rFonts w:ascii="Palatino Linotype" w:hAnsi="Palatino Linotype"/>
          <w:sz w:val="22"/>
          <w:szCs w:val="22"/>
          <w:lang w:val="en-US"/>
        </w:rPr>
        <w:t>-</w:t>
      </w:r>
      <w:r w:rsidRPr="00612443">
        <w:rPr>
          <w:rFonts w:ascii="Palatino Linotype" w:hAnsi="Palatino Linotype"/>
          <w:sz w:val="22"/>
          <w:szCs w:val="22"/>
          <w:lang w:val="en-US"/>
        </w:rPr>
        <w:t xml:space="preserve">order VAR due to our small sample size. First we run a total of 27 VARs, one for each inflation expectation decile and horizon. Then we split the intervention variable </w:t>
      </w:r>
      <w:r w:rsidR="00394137" w:rsidRPr="00612443">
        <w:rPr>
          <w:rFonts w:ascii="Palatino Linotype" w:hAnsi="Palatino Linotype"/>
          <w:position w:val="-12"/>
          <w:sz w:val="22"/>
          <w:szCs w:val="22"/>
          <w:lang w:val="en-US"/>
        </w:rPr>
        <w:object w:dxaOrig="380" w:dyaOrig="380">
          <v:shape id="_x0000_i1065" type="#_x0000_t75" style="width:18.75pt;height:18.75pt" o:ole="">
            <v:imagedata r:id="rId101" o:title=""/>
          </v:shape>
          <o:OLEObject Type="Embed" ProgID="Equation.DSMT4" ShapeID="_x0000_i1065" DrawAspect="Content" ObjectID="_1552495501" r:id="rId102"/>
        </w:object>
      </w:r>
      <w:r w:rsidRPr="00612443">
        <w:rPr>
          <w:rFonts w:ascii="Palatino Linotype" w:hAnsi="Palatino Linotype"/>
          <w:sz w:val="22"/>
          <w:szCs w:val="22"/>
          <w:lang w:val="en-US"/>
        </w:rPr>
        <w:t xml:space="preserve"> into its two components </w:t>
      </w:r>
      <w:r w:rsidR="00394137" w:rsidRPr="00612443">
        <w:rPr>
          <w:rFonts w:ascii="Palatino Linotype" w:hAnsi="Palatino Linotype"/>
          <w:position w:val="-12"/>
          <w:sz w:val="22"/>
          <w:szCs w:val="22"/>
          <w:lang w:val="en-US"/>
        </w:rPr>
        <w:object w:dxaOrig="480" w:dyaOrig="380">
          <v:shape id="_x0000_i1066" type="#_x0000_t75" style="width:24pt;height:18.75pt" o:ole="">
            <v:imagedata r:id="rId103" o:title=""/>
          </v:shape>
          <o:OLEObject Type="Embed" ProgID="Equation.DSMT4" ShapeID="_x0000_i1066" DrawAspect="Content" ObjectID="_1552495502" r:id="rId104"/>
        </w:object>
      </w:r>
      <w:r w:rsidRPr="00612443">
        <w:rPr>
          <w:rFonts w:ascii="Palatino Linotype" w:hAnsi="Palatino Linotype"/>
          <w:sz w:val="22"/>
          <w:szCs w:val="22"/>
          <w:lang w:val="en-US"/>
        </w:rPr>
        <w:t xml:space="preserve"> and </w:t>
      </w:r>
      <w:r w:rsidR="00394137" w:rsidRPr="00612443">
        <w:rPr>
          <w:rFonts w:ascii="Palatino Linotype" w:hAnsi="Palatino Linotype"/>
          <w:position w:val="-12"/>
          <w:sz w:val="22"/>
          <w:szCs w:val="22"/>
          <w:lang w:val="en-US"/>
        </w:rPr>
        <w:object w:dxaOrig="499" w:dyaOrig="380">
          <v:shape id="_x0000_i1067" type="#_x0000_t75" style="width:25.5pt;height:18.75pt" o:ole="">
            <v:imagedata r:id="rId105" o:title=""/>
          </v:shape>
          <o:OLEObject Type="Embed" ProgID="Equation.DSMT4" ShapeID="_x0000_i1067" DrawAspect="Content" ObjectID="_1552495503" r:id="rId106"/>
        </w:object>
      </w:r>
      <w:r w:rsidRPr="00612443">
        <w:rPr>
          <w:rFonts w:ascii="Palatino Linotype" w:hAnsi="Palatino Linotype"/>
          <w:sz w:val="22"/>
          <w:szCs w:val="22"/>
          <w:lang w:val="en-US"/>
        </w:rPr>
        <w:t xml:space="preserve"> defined in </w:t>
      </w:r>
      <w:r w:rsidR="00394137" w:rsidRPr="00612443">
        <w:rPr>
          <w:rFonts w:ascii="Palatino Linotype" w:hAnsi="Palatino Linotype"/>
          <w:sz w:val="22"/>
          <w:szCs w:val="22"/>
          <w:lang w:val="en-US"/>
        </w:rPr>
        <w:t>(</w:t>
      </w:r>
      <w:r w:rsidR="004A3EE7">
        <w:rPr>
          <w:rFonts w:ascii="Palatino Linotype" w:hAnsi="Palatino Linotype"/>
          <w:sz w:val="22"/>
          <w:szCs w:val="22"/>
          <w:lang w:val="en-US"/>
        </w:rPr>
        <w:t>6</w:t>
      </w:r>
      <w:r w:rsidR="00394137" w:rsidRPr="00612443">
        <w:rPr>
          <w:rFonts w:ascii="Palatino Linotype" w:hAnsi="Palatino Linotype"/>
          <w:sz w:val="22"/>
          <w:szCs w:val="22"/>
          <w:lang w:val="en-US"/>
        </w:rPr>
        <w:t>)</w:t>
      </w:r>
      <w:r w:rsidRPr="00612443">
        <w:rPr>
          <w:rFonts w:ascii="Palatino Linotype" w:hAnsi="Palatino Linotype"/>
          <w:sz w:val="22"/>
          <w:szCs w:val="22"/>
          <w:lang w:val="en-US"/>
        </w:rPr>
        <w:t xml:space="preserve"> and </w:t>
      </w:r>
      <w:r w:rsidR="00394137" w:rsidRPr="00612443">
        <w:rPr>
          <w:rFonts w:ascii="Palatino Linotype" w:hAnsi="Palatino Linotype"/>
          <w:sz w:val="22"/>
          <w:szCs w:val="22"/>
          <w:lang w:val="en-US"/>
        </w:rPr>
        <w:t>(</w:t>
      </w:r>
      <w:r w:rsidR="004A3EE7">
        <w:rPr>
          <w:rFonts w:ascii="Palatino Linotype" w:hAnsi="Palatino Linotype"/>
          <w:sz w:val="22"/>
          <w:szCs w:val="22"/>
          <w:lang w:val="en-US"/>
        </w:rPr>
        <w:t>7</w:t>
      </w:r>
      <w:r w:rsidR="00394137" w:rsidRPr="00612443">
        <w:rPr>
          <w:rFonts w:ascii="Palatino Linotype" w:hAnsi="Palatino Linotype"/>
          <w:sz w:val="22"/>
          <w:szCs w:val="22"/>
          <w:lang w:val="en-US"/>
        </w:rPr>
        <w:t>)</w:t>
      </w:r>
      <w:r w:rsidRPr="00612443">
        <w:rPr>
          <w:rFonts w:ascii="Palatino Linotype" w:hAnsi="Palatino Linotype"/>
          <w:sz w:val="22"/>
          <w:szCs w:val="22"/>
          <w:lang w:val="en-US"/>
        </w:rPr>
        <w:t xml:space="preserve">. Then we estimate again a total of 27 VARs, one for each inflation expectation decile and horizon but replacing the intervention variable </w:t>
      </w:r>
      <w:r w:rsidR="00394137" w:rsidRPr="00612443">
        <w:rPr>
          <w:rFonts w:ascii="Palatino Linotype" w:hAnsi="Palatino Linotype"/>
          <w:position w:val="-12"/>
          <w:sz w:val="22"/>
          <w:szCs w:val="22"/>
          <w:lang w:val="en-US"/>
        </w:rPr>
        <w:object w:dxaOrig="380" w:dyaOrig="380">
          <v:shape id="_x0000_i1068" type="#_x0000_t75" style="width:18.75pt;height:18.75pt" o:ole="">
            <v:imagedata r:id="rId101" o:title=""/>
          </v:shape>
          <o:OLEObject Type="Embed" ProgID="Equation.DSMT4" ShapeID="_x0000_i1068" DrawAspect="Content" ObjectID="_1552495504" r:id="rId107"/>
        </w:object>
      </w:r>
      <w:r w:rsidRPr="00612443">
        <w:rPr>
          <w:rFonts w:ascii="Palatino Linotype" w:hAnsi="Palatino Linotype"/>
          <w:sz w:val="22"/>
          <w:szCs w:val="22"/>
          <w:lang w:val="en-US"/>
        </w:rPr>
        <w:t xml:space="preserve"> by its two components </w:t>
      </w:r>
      <w:r w:rsidR="00394137" w:rsidRPr="00612443">
        <w:rPr>
          <w:rFonts w:ascii="Palatino Linotype" w:hAnsi="Palatino Linotype"/>
          <w:position w:val="-12"/>
          <w:sz w:val="22"/>
          <w:szCs w:val="22"/>
          <w:lang w:val="en-US"/>
        </w:rPr>
        <w:object w:dxaOrig="480" w:dyaOrig="380">
          <v:shape id="_x0000_i1069" type="#_x0000_t75" style="width:24pt;height:18.75pt" o:ole="">
            <v:imagedata r:id="rId103" o:title=""/>
          </v:shape>
          <o:OLEObject Type="Embed" ProgID="Equation.DSMT4" ShapeID="_x0000_i1069" DrawAspect="Content" ObjectID="_1552495505" r:id="rId108"/>
        </w:object>
      </w:r>
      <w:r w:rsidRPr="00612443">
        <w:rPr>
          <w:rFonts w:ascii="Palatino Linotype" w:hAnsi="Palatino Linotype"/>
          <w:sz w:val="22"/>
          <w:szCs w:val="22"/>
          <w:lang w:val="en-US"/>
        </w:rPr>
        <w:t xml:space="preserve"> and </w:t>
      </w:r>
      <w:r w:rsidR="00394137" w:rsidRPr="00612443">
        <w:rPr>
          <w:rFonts w:ascii="Palatino Linotype" w:hAnsi="Palatino Linotype"/>
          <w:position w:val="-12"/>
          <w:sz w:val="22"/>
          <w:szCs w:val="22"/>
          <w:lang w:val="en-US"/>
        </w:rPr>
        <w:object w:dxaOrig="499" w:dyaOrig="380">
          <v:shape id="_x0000_i1070" type="#_x0000_t75" style="width:25.5pt;height:18.75pt" o:ole="">
            <v:imagedata r:id="rId109" o:title=""/>
          </v:shape>
          <o:OLEObject Type="Embed" ProgID="Equation.DSMT4" ShapeID="_x0000_i1070" DrawAspect="Content" ObjectID="_1552495506" r:id="rId110"/>
        </w:object>
      </w:r>
    </w:p>
    <w:p w:rsidR="0058159B" w:rsidRPr="00612443" w:rsidRDefault="0058159B">
      <w:pPr>
        <w:ind w:firstLine="300"/>
        <w:rPr>
          <w:rFonts w:ascii="Palatino Linotype" w:hAnsi="Palatino Linotype"/>
          <w:sz w:val="22"/>
          <w:szCs w:val="22"/>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 xml:space="preserve">Figures </w:t>
      </w:r>
      <w:r w:rsidR="004A3EE7">
        <w:rPr>
          <w:rFonts w:ascii="Palatino Linotype" w:hAnsi="Palatino Linotype"/>
          <w:sz w:val="22"/>
          <w:szCs w:val="22"/>
          <w:lang w:val="en-US"/>
        </w:rPr>
        <w:t>9</w:t>
      </w:r>
      <w:r w:rsidRPr="00612443">
        <w:rPr>
          <w:rFonts w:ascii="Palatino Linotype" w:hAnsi="Palatino Linotype"/>
          <w:sz w:val="22"/>
          <w:szCs w:val="22"/>
          <w:lang w:val="en-US"/>
        </w:rPr>
        <w:t>-</w:t>
      </w:r>
      <w:r w:rsidR="004A3EE7">
        <w:rPr>
          <w:rFonts w:ascii="Palatino Linotype" w:hAnsi="Palatino Linotype"/>
          <w:sz w:val="22"/>
          <w:szCs w:val="22"/>
          <w:lang w:val="en-US"/>
        </w:rPr>
        <w:t>11</w:t>
      </w:r>
      <w:r w:rsidRPr="00612443">
        <w:rPr>
          <w:rFonts w:ascii="Palatino Linotype" w:hAnsi="Palatino Linotype"/>
          <w:sz w:val="22"/>
          <w:szCs w:val="22"/>
          <w:lang w:val="en-US"/>
        </w:rPr>
        <w:t xml:space="preserve"> show non-orthogonalized impulse response functions and their respective 90% confidence bands for every single inflation expectation decile when we run the VAR(1) with the intervention variable </w:t>
      </w:r>
      <w:r w:rsidR="00394137" w:rsidRPr="00612443">
        <w:rPr>
          <w:rFonts w:ascii="Palatino Linotype" w:hAnsi="Palatino Linotype"/>
          <w:position w:val="-12"/>
          <w:sz w:val="22"/>
          <w:szCs w:val="22"/>
          <w:lang w:val="en-US"/>
        </w:rPr>
        <w:object w:dxaOrig="380" w:dyaOrig="380">
          <v:shape id="_x0000_i1071" type="#_x0000_t75" style="width:18.75pt;height:18.75pt" o:ole="">
            <v:imagedata r:id="rId101" o:title=""/>
          </v:shape>
          <o:OLEObject Type="Embed" ProgID="Equation.DSMT4" ShapeID="_x0000_i1071" DrawAspect="Content" ObjectID="_1552495507" r:id="rId111"/>
        </w:object>
      </w:r>
      <w:r w:rsidRPr="00612443">
        <w:rPr>
          <w:rFonts w:ascii="Palatino Linotype" w:hAnsi="Palatino Linotype"/>
          <w:sz w:val="22"/>
          <w:szCs w:val="22"/>
          <w:lang w:val="en-US"/>
        </w:rPr>
        <w:t xml:space="preserve">. The shock is </w:t>
      </w:r>
      <w:r w:rsidR="002A033E" w:rsidRPr="00612443">
        <w:rPr>
          <w:rFonts w:ascii="Palatino Linotype" w:hAnsi="Palatino Linotype"/>
          <w:sz w:val="22"/>
          <w:szCs w:val="22"/>
          <w:lang w:val="en-US"/>
        </w:rPr>
        <w:t>$</w:t>
      </w:r>
      <w:r w:rsidRPr="00612443">
        <w:rPr>
          <w:rFonts w:ascii="Palatino Linotype" w:hAnsi="Palatino Linotype"/>
          <w:sz w:val="22"/>
          <w:szCs w:val="22"/>
          <w:lang w:val="en-US"/>
        </w:rPr>
        <w:t xml:space="preserve">1 billion </w:t>
      </w:r>
      <w:r w:rsidR="002A033E" w:rsidRPr="00612443">
        <w:rPr>
          <w:rFonts w:ascii="Palatino Linotype" w:hAnsi="Palatino Linotype"/>
          <w:sz w:val="22"/>
          <w:szCs w:val="22"/>
          <w:lang w:val="en-US"/>
        </w:rPr>
        <w:t xml:space="preserve">in </w:t>
      </w:r>
      <w:r w:rsidRPr="00612443">
        <w:rPr>
          <w:rFonts w:ascii="Palatino Linotype" w:hAnsi="Palatino Linotype"/>
          <w:sz w:val="22"/>
          <w:szCs w:val="22"/>
          <w:lang w:val="en-US"/>
        </w:rPr>
        <w:t>dollar purchases. These figures indicate that the impact on inflation expectations is relatively short-lived, as after a few months the response is not statistically significant at the 10% significance level.</w:t>
      </w:r>
    </w:p>
    <w:p w:rsidR="0058159B" w:rsidRPr="00612443" w:rsidRDefault="0058159B">
      <w:pPr>
        <w:ind w:firstLine="300"/>
        <w:rPr>
          <w:rFonts w:ascii="Palatino Linotype" w:hAnsi="Palatino Linotype"/>
          <w:sz w:val="22"/>
          <w:szCs w:val="22"/>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7C43CB" w:rsidRPr="00612443" w:rsidTr="00483258">
        <w:tc>
          <w:tcPr>
            <w:tcW w:w="9054" w:type="dxa"/>
          </w:tcPr>
          <w:p w:rsidR="007C43CB" w:rsidRPr="00612443" w:rsidRDefault="007C43CB" w:rsidP="007C43CB">
            <w:pPr>
              <w:jc w:val="center"/>
              <w:rPr>
                <w:rFonts w:ascii="Palatino Linotype" w:hAnsi="Palatino Linotype"/>
                <w:lang w:val="en-US"/>
              </w:rPr>
            </w:pPr>
            <w:r w:rsidRPr="00612443">
              <w:rPr>
                <w:rFonts w:ascii="Palatino Linotype" w:hAnsi="Palatino Linotype"/>
                <w:lang w:val="en-US"/>
              </w:rPr>
              <w:t xml:space="preserve">Figure </w:t>
            </w:r>
            <w:r w:rsidR="004A3EE7">
              <w:rPr>
                <w:rFonts w:ascii="Palatino Linotype" w:hAnsi="Palatino Linotype"/>
                <w:lang w:val="en-US"/>
              </w:rPr>
              <w:t>9</w:t>
            </w:r>
            <w:r w:rsidRPr="00612443">
              <w:rPr>
                <w:rFonts w:ascii="Palatino Linotype" w:hAnsi="Palatino Linotype"/>
                <w:lang w:val="en-US"/>
              </w:rPr>
              <w:t xml:space="preserve">: The Intervention </w:t>
            </w:r>
            <w:r w:rsidR="002A033E" w:rsidRPr="00612443">
              <w:rPr>
                <w:rFonts w:ascii="Palatino Linotype" w:hAnsi="Palatino Linotype"/>
                <w:lang w:val="en-US"/>
              </w:rPr>
              <w:t>impact on the distribution of inflation expectations</w:t>
            </w:r>
          </w:p>
          <w:p w:rsidR="007C43CB" w:rsidRPr="00612443" w:rsidRDefault="007C43CB" w:rsidP="00D0460B">
            <w:pPr>
              <w:jc w:val="center"/>
              <w:rPr>
                <w:rFonts w:ascii="Palatino Linotype" w:hAnsi="Palatino Linotype"/>
                <w:lang w:val="en-US"/>
              </w:rPr>
            </w:pPr>
            <w:r w:rsidRPr="00612443">
              <w:rPr>
                <w:rFonts w:ascii="Palatino Linotype" w:hAnsi="Palatino Linotype"/>
                <w:lang w:val="en-US"/>
              </w:rPr>
              <w:t xml:space="preserve">Expectations </w:t>
            </w:r>
            <w:r w:rsidR="002A033E" w:rsidRPr="00612443">
              <w:rPr>
                <w:rFonts w:ascii="Palatino Linotype" w:hAnsi="Palatino Linotype"/>
                <w:lang w:val="en-US"/>
              </w:rPr>
              <w:t>one</w:t>
            </w:r>
            <w:r w:rsidRPr="00612443">
              <w:rPr>
                <w:rFonts w:ascii="Palatino Linotype" w:hAnsi="Palatino Linotype"/>
                <w:lang w:val="en-US"/>
              </w:rPr>
              <w:t xml:space="preserve"> </w:t>
            </w:r>
            <w:r w:rsidR="002A033E" w:rsidRPr="00612443">
              <w:rPr>
                <w:rFonts w:ascii="Palatino Linotype" w:hAnsi="Palatino Linotype"/>
                <w:lang w:val="en-US"/>
              </w:rPr>
              <w:t xml:space="preserve">month ahead. </w:t>
            </w:r>
            <w:r w:rsidR="00D174C9" w:rsidRPr="00612443">
              <w:rPr>
                <w:rFonts w:ascii="Palatino Linotype" w:hAnsi="Palatino Linotype"/>
                <w:lang w:val="en-US"/>
              </w:rPr>
              <w:t>B</w:t>
            </w:r>
            <w:r w:rsidR="002A033E" w:rsidRPr="00612443">
              <w:rPr>
                <w:rFonts w:ascii="Palatino Linotype" w:hAnsi="Palatino Linotype"/>
                <w:lang w:val="en-US"/>
              </w:rPr>
              <w:t>oth intervention programs included</w:t>
            </w:r>
          </w:p>
        </w:tc>
      </w:tr>
      <w:tr w:rsidR="007C43CB" w:rsidRPr="00612443" w:rsidTr="00483258">
        <w:tc>
          <w:tcPr>
            <w:tcW w:w="9054" w:type="dxa"/>
          </w:tcPr>
          <w:p w:rsidR="00394137" w:rsidRPr="00612443" w:rsidRDefault="00394137" w:rsidP="007C43CB">
            <w:pPr>
              <w:rPr>
                <w:rFonts w:ascii="Palatino Linotype" w:hAnsi="Palatino Linotype"/>
                <w:lang w:val="en-US"/>
              </w:rPr>
            </w:pPr>
          </w:p>
          <w:p w:rsidR="007C43CB" w:rsidRPr="00612443" w:rsidRDefault="007C43CB" w:rsidP="007C43CB">
            <w:pPr>
              <w:rPr>
                <w:rFonts w:ascii="Palatino Linotype" w:hAnsi="Palatino Linotype"/>
                <w:lang w:val="en-US"/>
              </w:rPr>
            </w:pPr>
            <w:r w:rsidRPr="00612443">
              <w:rPr>
                <w:rFonts w:ascii="Palatino Linotype" w:hAnsi="Palatino Linotype"/>
                <w:lang w:val="en-US" w:eastAsia="en-US"/>
              </w:rPr>
              <w:drawing>
                <wp:inline distT="0" distB="0" distL="0" distR="0" wp14:anchorId="041FEE66" wp14:editId="58097DC5">
                  <wp:extent cx="5612130" cy="3931285"/>
                  <wp:effectExtent l="0" t="0" r="7620" b="0"/>
                  <wp:docPr id="19" name="18 Imagen" descr="Figure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6.wmf"/>
                          <pic:cNvPicPr/>
                        </pic:nvPicPr>
                        <pic:blipFill>
                          <a:blip r:embed="rId112"/>
                          <a:stretch>
                            <a:fillRect/>
                          </a:stretch>
                        </pic:blipFill>
                        <pic:spPr>
                          <a:xfrm>
                            <a:off x="0" y="0"/>
                            <a:ext cx="5612130" cy="3931285"/>
                          </a:xfrm>
                          <a:prstGeom prst="rect">
                            <a:avLst/>
                          </a:prstGeom>
                        </pic:spPr>
                      </pic:pic>
                    </a:graphicData>
                  </a:graphic>
                </wp:inline>
              </w:drawing>
            </w:r>
          </w:p>
        </w:tc>
      </w:tr>
      <w:tr w:rsidR="007C43CB" w:rsidRPr="00612443" w:rsidTr="00483258">
        <w:tc>
          <w:tcPr>
            <w:tcW w:w="9054" w:type="dxa"/>
          </w:tcPr>
          <w:p w:rsidR="007C43CB" w:rsidRPr="00612443" w:rsidRDefault="007C43CB" w:rsidP="007C43CB">
            <w:pPr>
              <w:jc w:val="center"/>
              <w:rPr>
                <w:rFonts w:ascii="Palatino Linotype" w:hAnsi="Palatino Linotype"/>
                <w:lang w:val="en-US"/>
              </w:rPr>
            </w:pPr>
          </w:p>
          <w:p w:rsidR="007C43CB" w:rsidRPr="00612443" w:rsidRDefault="007C43CB" w:rsidP="007C43CB">
            <w:pPr>
              <w:jc w:val="center"/>
              <w:rPr>
                <w:rFonts w:ascii="Palatino Linotype" w:hAnsi="Palatino Linotype"/>
                <w:lang w:val="en-US"/>
              </w:rPr>
            </w:pPr>
          </w:p>
          <w:p w:rsidR="004A3EE7" w:rsidRDefault="004A3EE7" w:rsidP="007C43CB">
            <w:pPr>
              <w:jc w:val="center"/>
              <w:rPr>
                <w:rFonts w:ascii="Palatino Linotype" w:hAnsi="Palatino Linotype"/>
                <w:lang w:val="en-US"/>
              </w:rPr>
            </w:pPr>
          </w:p>
          <w:p w:rsidR="004A3EE7" w:rsidRDefault="004A3EE7" w:rsidP="007C43CB">
            <w:pPr>
              <w:jc w:val="center"/>
              <w:rPr>
                <w:rFonts w:ascii="Palatino Linotype" w:hAnsi="Palatino Linotype"/>
                <w:lang w:val="en-US"/>
              </w:rPr>
            </w:pPr>
          </w:p>
          <w:p w:rsidR="004A3EE7" w:rsidRDefault="004A3EE7" w:rsidP="007C43CB">
            <w:pPr>
              <w:jc w:val="center"/>
              <w:rPr>
                <w:rFonts w:ascii="Palatino Linotype" w:hAnsi="Palatino Linotype"/>
                <w:lang w:val="en-US"/>
              </w:rPr>
            </w:pPr>
          </w:p>
          <w:p w:rsidR="004A3EE7" w:rsidRDefault="004A3EE7" w:rsidP="007C43CB">
            <w:pPr>
              <w:jc w:val="center"/>
              <w:rPr>
                <w:rFonts w:ascii="Palatino Linotype" w:hAnsi="Palatino Linotype"/>
                <w:lang w:val="en-US"/>
              </w:rPr>
            </w:pPr>
          </w:p>
          <w:p w:rsidR="004A3EE7" w:rsidRDefault="004A3EE7" w:rsidP="007C43CB">
            <w:pPr>
              <w:jc w:val="center"/>
              <w:rPr>
                <w:rFonts w:ascii="Palatino Linotype" w:hAnsi="Palatino Linotype"/>
                <w:lang w:val="en-US"/>
              </w:rPr>
            </w:pPr>
          </w:p>
          <w:p w:rsidR="004A3EE7" w:rsidRDefault="004A3EE7" w:rsidP="007C43CB">
            <w:pPr>
              <w:jc w:val="center"/>
              <w:rPr>
                <w:rFonts w:ascii="Palatino Linotype" w:hAnsi="Palatino Linotype"/>
                <w:lang w:val="en-US"/>
              </w:rPr>
            </w:pPr>
          </w:p>
          <w:p w:rsidR="004A3EE7" w:rsidRDefault="004A3EE7" w:rsidP="007C43CB">
            <w:pPr>
              <w:jc w:val="center"/>
              <w:rPr>
                <w:rFonts w:ascii="Palatino Linotype" w:hAnsi="Palatino Linotype"/>
                <w:lang w:val="en-US"/>
              </w:rPr>
            </w:pPr>
          </w:p>
          <w:p w:rsidR="004A3EE7" w:rsidRDefault="004A3EE7" w:rsidP="007C43CB">
            <w:pPr>
              <w:jc w:val="center"/>
              <w:rPr>
                <w:rFonts w:ascii="Palatino Linotype" w:hAnsi="Palatino Linotype"/>
                <w:lang w:val="en-US"/>
              </w:rPr>
            </w:pPr>
          </w:p>
          <w:p w:rsidR="004A3EE7" w:rsidRDefault="004A3EE7" w:rsidP="007C43CB">
            <w:pPr>
              <w:jc w:val="center"/>
              <w:rPr>
                <w:rFonts w:ascii="Palatino Linotype" w:hAnsi="Palatino Linotype"/>
                <w:lang w:val="en-US"/>
              </w:rPr>
            </w:pPr>
          </w:p>
          <w:p w:rsidR="007C43CB" w:rsidRPr="00612443" w:rsidRDefault="007C43CB" w:rsidP="007C43CB">
            <w:pPr>
              <w:jc w:val="center"/>
              <w:rPr>
                <w:rFonts w:ascii="Palatino Linotype" w:hAnsi="Palatino Linotype"/>
                <w:lang w:val="en-US"/>
              </w:rPr>
            </w:pPr>
            <w:r w:rsidRPr="00612443">
              <w:rPr>
                <w:rFonts w:ascii="Palatino Linotype" w:hAnsi="Palatino Linotype"/>
                <w:lang w:val="en-US"/>
              </w:rPr>
              <w:t xml:space="preserve">Figure </w:t>
            </w:r>
            <w:r w:rsidR="004A3EE7">
              <w:rPr>
                <w:rFonts w:ascii="Palatino Linotype" w:hAnsi="Palatino Linotype"/>
                <w:lang w:val="en-US"/>
              </w:rPr>
              <w:t>10</w:t>
            </w:r>
            <w:r w:rsidRPr="00612443">
              <w:rPr>
                <w:rFonts w:ascii="Palatino Linotype" w:hAnsi="Palatino Linotype"/>
                <w:lang w:val="en-US"/>
              </w:rPr>
              <w:t xml:space="preserve">: The </w:t>
            </w:r>
            <w:r w:rsidR="002A033E" w:rsidRPr="00612443">
              <w:rPr>
                <w:rFonts w:ascii="Palatino Linotype" w:hAnsi="Palatino Linotype"/>
                <w:lang w:val="en-US"/>
              </w:rPr>
              <w:t>intervention impact on the distribution of inflation expectations</w:t>
            </w:r>
          </w:p>
          <w:p w:rsidR="007C43CB" w:rsidRPr="00612443" w:rsidRDefault="007C43CB" w:rsidP="00D0460B">
            <w:pPr>
              <w:jc w:val="center"/>
              <w:rPr>
                <w:rFonts w:ascii="Palatino Linotype" w:hAnsi="Palatino Linotype"/>
                <w:lang w:val="en-US"/>
              </w:rPr>
            </w:pPr>
            <w:r w:rsidRPr="00612443">
              <w:rPr>
                <w:rFonts w:ascii="Palatino Linotype" w:hAnsi="Palatino Linotype"/>
                <w:lang w:val="en-US"/>
              </w:rPr>
              <w:t xml:space="preserve">Expectations 12 </w:t>
            </w:r>
            <w:r w:rsidR="002A033E" w:rsidRPr="00612443">
              <w:rPr>
                <w:rFonts w:ascii="Palatino Linotype" w:hAnsi="Palatino Linotype"/>
                <w:lang w:val="en-US"/>
              </w:rPr>
              <w:t>months ahead</w:t>
            </w:r>
            <w:r w:rsidR="00D0460B" w:rsidRPr="00612443">
              <w:rPr>
                <w:rFonts w:ascii="Palatino Linotype" w:hAnsi="Palatino Linotype"/>
                <w:lang w:val="en-US"/>
              </w:rPr>
              <w:t>.</w:t>
            </w:r>
            <w:r w:rsidRPr="00612443">
              <w:rPr>
                <w:rFonts w:ascii="Palatino Linotype" w:hAnsi="Palatino Linotype"/>
                <w:lang w:val="en-US"/>
              </w:rPr>
              <w:t xml:space="preserve"> </w:t>
            </w:r>
            <w:r w:rsidR="00D0460B" w:rsidRPr="00612443">
              <w:rPr>
                <w:rFonts w:ascii="Palatino Linotype" w:hAnsi="Palatino Linotype"/>
                <w:lang w:val="en-US"/>
              </w:rPr>
              <w:t xml:space="preserve">Both </w:t>
            </w:r>
            <w:r w:rsidR="002A033E" w:rsidRPr="00612443">
              <w:rPr>
                <w:rFonts w:ascii="Palatino Linotype" w:hAnsi="Palatino Linotype"/>
                <w:lang w:val="en-US"/>
              </w:rPr>
              <w:t>intervention programs included</w:t>
            </w:r>
          </w:p>
        </w:tc>
      </w:tr>
      <w:tr w:rsidR="007C43CB" w:rsidRPr="00612443" w:rsidTr="00483258">
        <w:tc>
          <w:tcPr>
            <w:tcW w:w="9054" w:type="dxa"/>
          </w:tcPr>
          <w:p w:rsidR="007C43CB" w:rsidRPr="00612443" w:rsidRDefault="007C43CB" w:rsidP="007C43CB">
            <w:pPr>
              <w:jc w:val="center"/>
              <w:rPr>
                <w:rFonts w:ascii="Palatino Linotype" w:hAnsi="Palatino Linotype"/>
                <w:lang w:val="en-US"/>
              </w:rPr>
            </w:pPr>
            <w:r w:rsidRPr="00612443">
              <w:rPr>
                <w:rFonts w:ascii="Palatino Linotype" w:hAnsi="Palatino Linotype"/>
                <w:lang w:val="en-US" w:eastAsia="en-US"/>
              </w:rPr>
              <w:lastRenderedPageBreak/>
              <w:drawing>
                <wp:inline distT="0" distB="0" distL="0" distR="0" wp14:anchorId="1CBB749D" wp14:editId="5E75706B">
                  <wp:extent cx="5612130" cy="3238500"/>
                  <wp:effectExtent l="0" t="0" r="7620" b="0"/>
                  <wp:docPr id="20" name="19 Imagen" descr="Figure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7.wmf"/>
                          <pic:cNvPicPr/>
                        </pic:nvPicPr>
                        <pic:blipFill>
                          <a:blip r:embed="rId113"/>
                          <a:stretch>
                            <a:fillRect/>
                          </a:stretch>
                        </pic:blipFill>
                        <pic:spPr>
                          <a:xfrm>
                            <a:off x="0" y="0"/>
                            <a:ext cx="5612130" cy="3238500"/>
                          </a:xfrm>
                          <a:prstGeom prst="rect">
                            <a:avLst/>
                          </a:prstGeom>
                        </pic:spPr>
                      </pic:pic>
                    </a:graphicData>
                  </a:graphic>
                </wp:inline>
              </w:drawing>
            </w:r>
          </w:p>
        </w:tc>
      </w:tr>
      <w:tr w:rsidR="007C43CB" w:rsidRPr="00612443" w:rsidTr="00483258">
        <w:tc>
          <w:tcPr>
            <w:tcW w:w="9054" w:type="dxa"/>
          </w:tcPr>
          <w:p w:rsidR="007C43CB" w:rsidRPr="00612443" w:rsidRDefault="007C43CB" w:rsidP="007C43CB">
            <w:pPr>
              <w:jc w:val="center"/>
              <w:rPr>
                <w:rFonts w:ascii="Palatino Linotype" w:hAnsi="Palatino Linotype"/>
                <w:lang w:val="en-US"/>
              </w:rPr>
            </w:pPr>
          </w:p>
          <w:p w:rsidR="007C43CB" w:rsidRPr="00612443" w:rsidRDefault="007C43CB" w:rsidP="007C43CB">
            <w:pPr>
              <w:jc w:val="center"/>
              <w:rPr>
                <w:rFonts w:ascii="Palatino Linotype" w:hAnsi="Palatino Linotype"/>
                <w:lang w:val="en-US"/>
              </w:rPr>
            </w:pPr>
            <w:r w:rsidRPr="00612443">
              <w:rPr>
                <w:rFonts w:ascii="Palatino Linotype" w:hAnsi="Palatino Linotype"/>
                <w:lang w:val="en-US"/>
              </w:rPr>
              <w:t xml:space="preserve">Figure </w:t>
            </w:r>
            <w:r w:rsidR="004A3EE7">
              <w:rPr>
                <w:rFonts w:ascii="Palatino Linotype" w:hAnsi="Palatino Linotype"/>
                <w:lang w:val="en-US"/>
              </w:rPr>
              <w:t>11</w:t>
            </w:r>
            <w:r w:rsidRPr="00612443">
              <w:rPr>
                <w:rFonts w:ascii="Palatino Linotype" w:hAnsi="Palatino Linotype"/>
                <w:lang w:val="en-US"/>
              </w:rPr>
              <w:t xml:space="preserve">: The </w:t>
            </w:r>
            <w:r w:rsidR="002A033E" w:rsidRPr="00612443">
              <w:rPr>
                <w:rFonts w:ascii="Palatino Linotype" w:hAnsi="Palatino Linotype"/>
                <w:lang w:val="en-US"/>
              </w:rPr>
              <w:t>intervention impact on the distribution of inflation expectations</w:t>
            </w:r>
          </w:p>
          <w:p w:rsidR="007C43CB" w:rsidRPr="00612443" w:rsidRDefault="007C43CB" w:rsidP="00D0460B">
            <w:pPr>
              <w:jc w:val="center"/>
              <w:rPr>
                <w:rFonts w:ascii="Palatino Linotype" w:hAnsi="Palatino Linotype"/>
                <w:lang w:val="en-US"/>
              </w:rPr>
            </w:pPr>
            <w:r w:rsidRPr="00612443">
              <w:rPr>
                <w:rFonts w:ascii="Palatino Linotype" w:hAnsi="Palatino Linotype"/>
                <w:lang w:val="en-US"/>
              </w:rPr>
              <w:t xml:space="preserve">Expectations 24 </w:t>
            </w:r>
            <w:r w:rsidR="002A033E" w:rsidRPr="00612443">
              <w:rPr>
                <w:rFonts w:ascii="Palatino Linotype" w:hAnsi="Palatino Linotype"/>
                <w:lang w:val="en-US"/>
              </w:rPr>
              <w:t>months ahead</w:t>
            </w:r>
            <w:r w:rsidR="00D0460B" w:rsidRPr="00612443">
              <w:rPr>
                <w:rFonts w:ascii="Palatino Linotype" w:hAnsi="Palatino Linotype"/>
                <w:lang w:val="en-US"/>
              </w:rPr>
              <w:t>.</w:t>
            </w:r>
            <w:r w:rsidRPr="00612443">
              <w:rPr>
                <w:rFonts w:ascii="Palatino Linotype" w:hAnsi="Palatino Linotype"/>
                <w:lang w:val="en-US"/>
              </w:rPr>
              <w:t xml:space="preserve"> </w:t>
            </w:r>
            <w:r w:rsidR="00D0460B" w:rsidRPr="00612443">
              <w:rPr>
                <w:rFonts w:ascii="Palatino Linotype" w:hAnsi="Palatino Linotype"/>
                <w:lang w:val="en-US"/>
              </w:rPr>
              <w:t xml:space="preserve">Both </w:t>
            </w:r>
            <w:r w:rsidR="002A033E" w:rsidRPr="00612443">
              <w:rPr>
                <w:rFonts w:ascii="Palatino Linotype" w:hAnsi="Palatino Linotype"/>
                <w:lang w:val="en-US"/>
              </w:rPr>
              <w:t>intervention programs included</w:t>
            </w:r>
          </w:p>
        </w:tc>
      </w:tr>
      <w:tr w:rsidR="007C43CB" w:rsidRPr="00612443" w:rsidTr="00483258">
        <w:tc>
          <w:tcPr>
            <w:tcW w:w="9054" w:type="dxa"/>
          </w:tcPr>
          <w:p w:rsidR="007C43CB" w:rsidRPr="00612443" w:rsidRDefault="007C43CB" w:rsidP="007C43CB">
            <w:pPr>
              <w:jc w:val="center"/>
              <w:rPr>
                <w:rFonts w:ascii="Palatino Linotype" w:hAnsi="Palatino Linotype"/>
                <w:lang w:val="en-US"/>
              </w:rPr>
            </w:pPr>
            <w:r w:rsidRPr="00612443">
              <w:rPr>
                <w:rFonts w:ascii="Palatino Linotype" w:hAnsi="Palatino Linotype"/>
                <w:lang w:val="en-US" w:eastAsia="en-US"/>
              </w:rPr>
              <w:drawing>
                <wp:inline distT="0" distB="0" distL="0" distR="0" wp14:anchorId="7E6AAB0E" wp14:editId="5D31230B">
                  <wp:extent cx="5612130" cy="3655695"/>
                  <wp:effectExtent l="0" t="0" r="7620" b="0"/>
                  <wp:docPr id="21" name="20 Imagen" descr="Figure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8.wmf"/>
                          <pic:cNvPicPr/>
                        </pic:nvPicPr>
                        <pic:blipFill>
                          <a:blip r:embed="rId114"/>
                          <a:stretch>
                            <a:fillRect/>
                          </a:stretch>
                        </pic:blipFill>
                        <pic:spPr>
                          <a:xfrm>
                            <a:off x="0" y="0"/>
                            <a:ext cx="5612130" cy="3655695"/>
                          </a:xfrm>
                          <a:prstGeom prst="rect">
                            <a:avLst/>
                          </a:prstGeom>
                        </pic:spPr>
                      </pic:pic>
                    </a:graphicData>
                  </a:graphic>
                </wp:inline>
              </w:drawing>
            </w:r>
          </w:p>
        </w:tc>
      </w:tr>
    </w:tbl>
    <w:p w:rsidR="0058159B" w:rsidRPr="00612443" w:rsidRDefault="0058159B" w:rsidP="007C43CB">
      <w:pPr>
        <w:jc w:val="center"/>
        <w:rPr>
          <w:rFonts w:ascii="Palatino Linotype" w:hAnsi="Palatino Linotype"/>
          <w:lang w:val="en-US"/>
        </w:rPr>
      </w:pPr>
    </w:p>
    <w:p w:rsidR="007C43CB" w:rsidRPr="00612443" w:rsidRDefault="007C43CB" w:rsidP="0058159B">
      <w:pPr>
        <w:rPr>
          <w:rFonts w:ascii="Palatino Linotype" w:hAnsi="Palatino Linotype"/>
          <w:lang w:val="en-US"/>
        </w:rPr>
      </w:pPr>
    </w:p>
    <w:p w:rsidR="00D67271" w:rsidRPr="00612443" w:rsidRDefault="000D18E6" w:rsidP="0058159B">
      <w:pPr>
        <w:ind w:firstLine="720"/>
        <w:rPr>
          <w:rFonts w:ascii="Palatino Linotype" w:hAnsi="Palatino Linotype"/>
          <w:sz w:val="22"/>
          <w:szCs w:val="22"/>
          <w:lang w:val="en-US"/>
        </w:rPr>
      </w:pPr>
      <w:r w:rsidRPr="00612443">
        <w:rPr>
          <w:rFonts w:ascii="Palatino Linotype" w:hAnsi="Palatino Linotype"/>
          <w:sz w:val="22"/>
          <w:szCs w:val="22"/>
          <w:lang w:val="en-US"/>
        </w:rPr>
        <w:t xml:space="preserve">Figures </w:t>
      </w:r>
      <w:r w:rsidR="004A3EE7">
        <w:rPr>
          <w:rFonts w:ascii="Palatino Linotype" w:hAnsi="Palatino Linotype"/>
          <w:sz w:val="22"/>
          <w:szCs w:val="22"/>
          <w:lang w:val="en-US"/>
        </w:rPr>
        <w:t>12</w:t>
      </w:r>
      <w:r w:rsidRPr="00612443">
        <w:rPr>
          <w:rFonts w:ascii="Palatino Linotype" w:hAnsi="Palatino Linotype"/>
          <w:sz w:val="22"/>
          <w:szCs w:val="22"/>
          <w:lang w:val="en-US"/>
        </w:rPr>
        <w:t>-</w:t>
      </w:r>
      <w:r w:rsidR="00D848D7" w:rsidRPr="00612443">
        <w:rPr>
          <w:rFonts w:ascii="Palatino Linotype" w:hAnsi="Palatino Linotype"/>
          <w:sz w:val="22"/>
          <w:szCs w:val="22"/>
          <w:lang w:val="en-US"/>
        </w:rPr>
        <w:t>1</w:t>
      </w:r>
      <w:r w:rsidR="004A3EE7">
        <w:rPr>
          <w:rFonts w:ascii="Palatino Linotype" w:hAnsi="Palatino Linotype"/>
          <w:sz w:val="22"/>
          <w:szCs w:val="22"/>
          <w:lang w:val="en-US"/>
        </w:rPr>
        <w:t>7</w:t>
      </w:r>
      <w:r w:rsidRPr="00612443">
        <w:rPr>
          <w:rFonts w:ascii="Palatino Linotype" w:hAnsi="Palatino Linotype"/>
          <w:sz w:val="22"/>
          <w:szCs w:val="22"/>
          <w:lang w:val="en-US"/>
        </w:rPr>
        <w:t xml:space="preserve"> show non-orthogonalized impulse response functions and their respective 90% confidence bands for every single inflation expectation decile when we split </w:t>
      </w:r>
      <w:r w:rsidRPr="00612443">
        <w:rPr>
          <w:rFonts w:ascii="Palatino Linotype" w:hAnsi="Palatino Linotype"/>
          <w:sz w:val="22"/>
          <w:szCs w:val="22"/>
          <w:lang w:val="en-US"/>
        </w:rPr>
        <w:lastRenderedPageBreak/>
        <w:t xml:space="preserve">the intervention variable </w:t>
      </w:r>
      <w:r w:rsidR="00394137" w:rsidRPr="00612443">
        <w:rPr>
          <w:rFonts w:ascii="Palatino Linotype" w:hAnsi="Palatino Linotype"/>
          <w:position w:val="-12"/>
          <w:sz w:val="22"/>
          <w:szCs w:val="22"/>
          <w:lang w:val="en-US"/>
        </w:rPr>
        <w:object w:dxaOrig="380" w:dyaOrig="380">
          <v:shape id="_x0000_i1072" type="#_x0000_t75" style="width:18.75pt;height:18.75pt" o:ole="">
            <v:imagedata r:id="rId101" o:title=""/>
          </v:shape>
          <o:OLEObject Type="Embed" ProgID="Equation.DSMT4" ShapeID="_x0000_i1072" DrawAspect="Content" ObjectID="_1552495508" r:id="rId115"/>
        </w:object>
      </w:r>
      <w:r w:rsidRPr="00612443">
        <w:rPr>
          <w:rFonts w:ascii="Palatino Linotype" w:hAnsi="Palatino Linotype"/>
          <w:sz w:val="22"/>
          <w:szCs w:val="22"/>
          <w:lang w:val="en-US"/>
        </w:rPr>
        <w:t xml:space="preserve"> into its two components </w:t>
      </w:r>
      <w:r w:rsidR="00394137" w:rsidRPr="00612443">
        <w:rPr>
          <w:rFonts w:ascii="Palatino Linotype" w:hAnsi="Palatino Linotype"/>
          <w:position w:val="-12"/>
          <w:sz w:val="22"/>
          <w:szCs w:val="22"/>
          <w:lang w:val="en-US"/>
        </w:rPr>
        <w:object w:dxaOrig="480" w:dyaOrig="380">
          <v:shape id="_x0000_i1073" type="#_x0000_t75" style="width:24pt;height:18.75pt" o:ole="">
            <v:imagedata r:id="rId116" o:title=""/>
          </v:shape>
          <o:OLEObject Type="Embed" ProgID="Equation.DSMT4" ShapeID="_x0000_i1073" DrawAspect="Content" ObjectID="_1552495509" r:id="rId117"/>
        </w:object>
      </w:r>
      <w:r w:rsidRPr="00612443">
        <w:rPr>
          <w:rFonts w:ascii="Palatino Linotype" w:hAnsi="Palatino Linotype"/>
          <w:sz w:val="22"/>
          <w:szCs w:val="22"/>
          <w:lang w:val="en-US"/>
        </w:rPr>
        <w:t xml:space="preserve"> and </w:t>
      </w:r>
      <w:r w:rsidR="00394137" w:rsidRPr="00612443">
        <w:rPr>
          <w:rFonts w:ascii="Palatino Linotype" w:hAnsi="Palatino Linotype"/>
          <w:position w:val="-12"/>
          <w:sz w:val="22"/>
          <w:szCs w:val="22"/>
          <w:lang w:val="en-US"/>
        </w:rPr>
        <w:object w:dxaOrig="499" w:dyaOrig="380">
          <v:shape id="_x0000_i1074" type="#_x0000_t75" style="width:25.5pt;height:18.75pt" o:ole="">
            <v:imagedata r:id="rId118" o:title=""/>
          </v:shape>
          <o:OLEObject Type="Embed" ProgID="Equation.DSMT4" ShapeID="_x0000_i1074" DrawAspect="Content" ObjectID="_1552495510" r:id="rId119"/>
        </w:object>
      </w:r>
      <w:r w:rsidRPr="00612443">
        <w:rPr>
          <w:rFonts w:ascii="Palatino Linotype" w:hAnsi="Palatino Linotype"/>
          <w:sz w:val="22"/>
          <w:szCs w:val="22"/>
          <w:lang w:val="en-US"/>
        </w:rPr>
        <w:t xml:space="preserve">. This allows us to analyze the impact of the two intervention periods separately. Figures </w:t>
      </w:r>
      <w:r w:rsidR="004A3EE7">
        <w:rPr>
          <w:rFonts w:ascii="Palatino Linotype" w:hAnsi="Palatino Linotype"/>
          <w:sz w:val="22"/>
          <w:szCs w:val="22"/>
          <w:lang w:val="en-US"/>
        </w:rPr>
        <w:t>12</w:t>
      </w:r>
      <w:r w:rsidRPr="00612443">
        <w:rPr>
          <w:rFonts w:ascii="Palatino Linotype" w:hAnsi="Palatino Linotype"/>
          <w:sz w:val="22"/>
          <w:szCs w:val="22"/>
          <w:lang w:val="en-US"/>
        </w:rPr>
        <w:t>-</w:t>
      </w:r>
      <w:r w:rsidR="00D848D7" w:rsidRPr="00612443">
        <w:rPr>
          <w:rFonts w:ascii="Palatino Linotype" w:hAnsi="Palatino Linotype"/>
          <w:sz w:val="22"/>
          <w:szCs w:val="22"/>
          <w:lang w:val="en-US"/>
        </w:rPr>
        <w:t>1</w:t>
      </w:r>
      <w:r w:rsidR="004A3EE7">
        <w:rPr>
          <w:rFonts w:ascii="Palatino Linotype" w:hAnsi="Palatino Linotype"/>
          <w:sz w:val="22"/>
          <w:szCs w:val="22"/>
          <w:lang w:val="en-US"/>
        </w:rPr>
        <w:t>4</w:t>
      </w:r>
      <w:r w:rsidRPr="00612443">
        <w:rPr>
          <w:rFonts w:ascii="Palatino Linotype" w:hAnsi="Palatino Linotype"/>
          <w:sz w:val="22"/>
          <w:szCs w:val="22"/>
          <w:lang w:val="en-US"/>
        </w:rPr>
        <w:t xml:space="preserve"> show impulse-response functions after a </w:t>
      </w:r>
      <w:r w:rsidR="002A033E" w:rsidRPr="00612443">
        <w:rPr>
          <w:rFonts w:ascii="Palatino Linotype" w:hAnsi="Palatino Linotype"/>
          <w:sz w:val="22"/>
          <w:szCs w:val="22"/>
          <w:lang w:val="en-US"/>
        </w:rPr>
        <w:t>$</w:t>
      </w:r>
      <w:r w:rsidRPr="00612443">
        <w:rPr>
          <w:rFonts w:ascii="Palatino Linotype" w:hAnsi="Palatino Linotype"/>
          <w:sz w:val="22"/>
          <w:szCs w:val="22"/>
          <w:lang w:val="en-US"/>
        </w:rPr>
        <w:t>1 billion intervention shock in 2008. Figures 1</w:t>
      </w:r>
      <w:r w:rsidR="004A3EE7">
        <w:rPr>
          <w:rFonts w:ascii="Palatino Linotype" w:hAnsi="Palatino Linotype"/>
          <w:sz w:val="22"/>
          <w:szCs w:val="22"/>
          <w:lang w:val="en-US"/>
        </w:rPr>
        <w:t>5</w:t>
      </w:r>
      <w:r w:rsidR="002A033E" w:rsidRPr="00612443">
        <w:rPr>
          <w:rFonts w:ascii="Palatino Linotype" w:hAnsi="Palatino Linotype"/>
          <w:sz w:val="22"/>
          <w:szCs w:val="22"/>
          <w:lang w:val="en-US"/>
        </w:rPr>
        <w:t>–</w:t>
      </w:r>
      <w:r w:rsidRPr="00612443">
        <w:rPr>
          <w:rFonts w:ascii="Palatino Linotype" w:hAnsi="Palatino Linotype"/>
          <w:sz w:val="22"/>
          <w:szCs w:val="22"/>
          <w:lang w:val="en-US"/>
        </w:rPr>
        <w:t>1</w:t>
      </w:r>
      <w:r w:rsidR="004A3EE7">
        <w:rPr>
          <w:rFonts w:ascii="Palatino Linotype" w:hAnsi="Palatino Linotype"/>
          <w:sz w:val="22"/>
          <w:szCs w:val="22"/>
          <w:lang w:val="en-US"/>
        </w:rPr>
        <w:t>7</w:t>
      </w:r>
      <w:r w:rsidRPr="00612443">
        <w:rPr>
          <w:rFonts w:ascii="Palatino Linotype" w:hAnsi="Palatino Linotype"/>
          <w:sz w:val="22"/>
          <w:szCs w:val="22"/>
          <w:lang w:val="en-US"/>
        </w:rPr>
        <w:t xml:space="preserve"> show impulse-response functions after a </w:t>
      </w:r>
      <w:r w:rsidR="002A033E" w:rsidRPr="00612443">
        <w:rPr>
          <w:rFonts w:ascii="Palatino Linotype" w:hAnsi="Palatino Linotype"/>
          <w:sz w:val="22"/>
          <w:szCs w:val="22"/>
          <w:lang w:val="en-US"/>
        </w:rPr>
        <w:t>$</w:t>
      </w:r>
      <w:r w:rsidRPr="00612443">
        <w:rPr>
          <w:rFonts w:ascii="Palatino Linotype" w:hAnsi="Palatino Linotype"/>
          <w:sz w:val="22"/>
          <w:szCs w:val="22"/>
          <w:lang w:val="en-US"/>
        </w:rPr>
        <w:t xml:space="preserve">1 billion intervention shock in 2011. While the impact of the intervention in 2008 is still reported as much higher than that of the intervention in 2011, Figures </w:t>
      </w:r>
      <w:r w:rsidR="004A3EE7">
        <w:rPr>
          <w:rFonts w:ascii="Palatino Linotype" w:hAnsi="Palatino Linotype"/>
          <w:sz w:val="22"/>
          <w:szCs w:val="22"/>
          <w:lang w:val="en-US"/>
        </w:rPr>
        <w:t>12</w:t>
      </w:r>
      <w:r w:rsidR="002A033E" w:rsidRPr="00612443">
        <w:rPr>
          <w:rFonts w:ascii="Palatino Linotype" w:hAnsi="Palatino Linotype"/>
          <w:sz w:val="22"/>
          <w:szCs w:val="22"/>
          <w:lang w:val="en-US"/>
        </w:rPr>
        <w:t>–</w:t>
      </w:r>
      <w:r w:rsidRPr="00612443">
        <w:rPr>
          <w:rFonts w:ascii="Palatino Linotype" w:hAnsi="Palatino Linotype"/>
          <w:sz w:val="22"/>
          <w:szCs w:val="22"/>
          <w:lang w:val="en-US"/>
        </w:rPr>
        <w:t>1</w:t>
      </w:r>
      <w:r w:rsidR="004A3EE7">
        <w:rPr>
          <w:rFonts w:ascii="Palatino Linotype" w:hAnsi="Palatino Linotype"/>
          <w:sz w:val="22"/>
          <w:szCs w:val="22"/>
          <w:lang w:val="en-US"/>
        </w:rPr>
        <w:t>7</w:t>
      </w:r>
      <w:r w:rsidRPr="00612443">
        <w:rPr>
          <w:rFonts w:ascii="Palatino Linotype" w:hAnsi="Palatino Linotype"/>
          <w:sz w:val="22"/>
          <w:szCs w:val="22"/>
          <w:lang w:val="en-US"/>
        </w:rPr>
        <w:t xml:space="preserve"> corroborate </w:t>
      </w:r>
      <w:r w:rsidR="004A3EE7">
        <w:rPr>
          <w:rFonts w:ascii="Palatino Linotype" w:hAnsi="Palatino Linotype"/>
          <w:sz w:val="22"/>
          <w:szCs w:val="22"/>
          <w:lang w:val="en-US"/>
        </w:rPr>
        <w:t>our previous findings</w:t>
      </w:r>
      <w:r w:rsidRPr="00612443">
        <w:rPr>
          <w:rFonts w:ascii="Palatino Linotype" w:hAnsi="Palatino Linotype"/>
          <w:sz w:val="22"/>
          <w:szCs w:val="22"/>
          <w:lang w:val="en-US"/>
        </w:rPr>
        <w:t xml:space="preserve"> as the impact on inflation expectations is relatively short-lived. Actually, after six months the response is not statistically significant at the 10% significance level.</w:t>
      </w:r>
    </w:p>
    <w:p w:rsidR="0058159B" w:rsidRPr="00612443" w:rsidRDefault="0058159B" w:rsidP="0058159B">
      <w:pPr>
        <w:ind w:firstLine="720"/>
        <w:rPr>
          <w:rFonts w:ascii="Palatino Linotype" w:hAnsi="Palatino Linotype"/>
          <w:sz w:val="22"/>
          <w:szCs w:val="22"/>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7C43CB" w:rsidRPr="00612443" w:rsidTr="004A3EE7">
        <w:tc>
          <w:tcPr>
            <w:tcW w:w="9054" w:type="dxa"/>
            <w:vAlign w:val="center"/>
          </w:tcPr>
          <w:p w:rsidR="007C43CB" w:rsidRPr="00612443" w:rsidRDefault="007C43CB" w:rsidP="007C43CB">
            <w:pPr>
              <w:jc w:val="center"/>
              <w:rPr>
                <w:rFonts w:ascii="Palatino Linotype" w:hAnsi="Palatino Linotype"/>
                <w:lang w:val="en-US"/>
              </w:rPr>
            </w:pPr>
            <w:r w:rsidRPr="00612443">
              <w:rPr>
                <w:rFonts w:ascii="Palatino Linotype" w:hAnsi="Palatino Linotype"/>
                <w:lang w:val="en-US"/>
              </w:rPr>
              <w:t xml:space="preserve">Figure </w:t>
            </w:r>
            <w:r w:rsidR="004A3EE7">
              <w:rPr>
                <w:rFonts w:ascii="Palatino Linotype" w:hAnsi="Palatino Linotype"/>
                <w:lang w:val="en-US"/>
              </w:rPr>
              <w:t>12</w:t>
            </w:r>
            <w:r w:rsidRPr="00612443">
              <w:rPr>
                <w:rFonts w:ascii="Palatino Linotype" w:hAnsi="Palatino Linotype"/>
                <w:lang w:val="en-US"/>
              </w:rPr>
              <w:t>: The</w:t>
            </w:r>
            <w:r w:rsidR="001F0284" w:rsidRPr="00612443">
              <w:rPr>
                <w:rFonts w:ascii="Palatino Linotype" w:hAnsi="Palatino Linotype"/>
                <w:lang w:val="en-US"/>
              </w:rPr>
              <w:t xml:space="preserve"> 2008</w:t>
            </w:r>
            <w:r w:rsidRPr="00612443">
              <w:rPr>
                <w:rFonts w:ascii="Palatino Linotype" w:hAnsi="Palatino Linotype"/>
                <w:lang w:val="en-US"/>
              </w:rPr>
              <w:t xml:space="preserve"> </w:t>
            </w:r>
            <w:r w:rsidR="002A033E" w:rsidRPr="00612443">
              <w:rPr>
                <w:rFonts w:ascii="Palatino Linotype" w:hAnsi="Palatino Linotype"/>
                <w:lang w:val="en-US"/>
              </w:rPr>
              <w:t>intervention impact on the distribution of inflation expectations</w:t>
            </w:r>
          </w:p>
          <w:p w:rsidR="007C43CB" w:rsidRPr="00612443" w:rsidRDefault="007C43CB" w:rsidP="002A033E">
            <w:pPr>
              <w:jc w:val="center"/>
              <w:rPr>
                <w:rFonts w:ascii="Palatino Linotype" w:hAnsi="Palatino Linotype"/>
                <w:lang w:val="en-US"/>
              </w:rPr>
            </w:pPr>
            <w:r w:rsidRPr="00612443">
              <w:rPr>
                <w:rFonts w:ascii="Palatino Linotype" w:hAnsi="Palatino Linotype"/>
                <w:lang w:val="en-US"/>
              </w:rPr>
              <w:t xml:space="preserve">Expectations </w:t>
            </w:r>
            <w:r w:rsidR="002A033E" w:rsidRPr="00612443">
              <w:rPr>
                <w:rFonts w:ascii="Palatino Linotype" w:hAnsi="Palatino Linotype"/>
                <w:lang w:val="en-US"/>
              </w:rPr>
              <w:t>one</w:t>
            </w:r>
            <w:r w:rsidRPr="00612443">
              <w:rPr>
                <w:rFonts w:ascii="Palatino Linotype" w:hAnsi="Palatino Linotype"/>
                <w:lang w:val="en-US"/>
              </w:rPr>
              <w:t xml:space="preserve"> </w:t>
            </w:r>
            <w:r w:rsidR="002A033E" w:rsidRPr="00612443">
              <w:rPr>
                <w:rFonts w:ascii="Palatino Linotype" w:hAnsi="Palatino Linotype"/>
                <w:lang w:val="en-US"/>
              </w:rPr>
              <w:t>month ahead</w:t>
            </w:r>
          </w:p>
        </w:tc>
      </w:tr>
      <w:tr w:rsidR="007C43CB" w:rsidRPr="00612443" w:rsidTr="004A3EE7">
        <w:tc>
          <w:tcPr>
            <w:tcW w:w="9054" w:type="dxa"/>
            <w:vAlign w:val="center"/>
          </w:tcPr>
          <w:p w:rsidR="007C43CB" w:rsidRPr="00612443" w:rsidRDefault="001F0284" w:rsidP="007C43CB">
            <w:pPr>
              <w:jc w:val="center"/>
              <w:rPr>
                <w:rFonts w:ascii="Palatino Linotype" w:hAnsi="Palatino Linotype"/>
                <w:lang w:val="en-US"/>
              </w:rPr>
            </w:pPr>
            <w:r w:rsidRPr="00612443">
              <w:rPr>
                <w:rFonts w:ascii="Palatino Linotype" w:hAnsi="Palatino Linotype"/>
                <w:lang w:val="en-US" w:eastAsia="en-US"/>
              </w:rPr>
              <w:drawing>
                <wp:inline distT="0" distB="0" distL="0" distR="0" wp14:anchorId="281FF01D" wp14:editId="6C4B4C58">
                  <wp:extent cx="5494352" cy="3848781"/>
                  <wp:effectExtent l="0" t="0" r="0" b="0"/>
                  <wp:docPr id="22" name="21 Imagen" descr="Figure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9.wmf"/>
                          <pic:cNvPicPr/>
                        </pic:nvPicPr>
                        <pic:blipFill>
                          <a:blip r:embed="rId120"/>
                          <a:stretch>
                            <a:fillRect/>
                          </a:stretch>
                        </pic:blipFill>
                        <pic:spPr>
                          <a:xfrm>
                            <a:off x="0" y="0"/>
                            <a:ext cx="5499025" cy="3852055"/>
                          </a:xfrm>
                          <a:prstGeom prst="rect">
                            <a:avLst/>
                          </a:prstGeom>
                        </pic:spPr>
                      </pic:pic>
                    </a:graphicData>
                  </a:graphic>
                </wp:inline>
              </w:drawing>
            </w:r>
          </w:p>
        </w:tc>
      </w:tr>
      <w:tr w:rsidR="007C43CB" w:rsidRPr="00612443" w:rsidTr="004A3EE7">
        <w:tc>
          <w:tcPr>
            <w:tcW w:w="9054" w:type="dxa"/>
            <w:vAlign w:val="center"/>
          </w:tcPr>
          <w:p w:rsidR="001F0284" w:rsidRPr="00612443" w:rsidRDefault="001F0284" w:rsidP="001F0284">
            <w:pPr>
              <w:jc w:val="center"/>
              <w:rPr>
                <w:rFonts w:ascii="Palatino Linotype" w:hAnsi="Palatino Linotype"/>
                <w:lang w:val="en-US"/>
              </w:rPr>
            </w:pPr>
          </w:p>
          <w:p w:rsidR="004A3EE7" w:rsidRDefault="004A3EE7" w:rsidP="001F0284">
            <w:pPr>
              <w:jc w:val="center"/>
              <w:rPr>
                <w:rFonts w:ascii="Palatino Linotype" w:hAnsi="Palatino Linotype"/>
                <w:lang w:val="en-US"/>
              </w:rPr>
            </w:pPr>
          </w:p>
          <w:p w:rsidR="004A3EE7" w:rsidRDefault="004A3EE7" w:rsidP="001F0284">
            <w:pPr>
              <w:jc w:val="center"/>
              <w:rPr>
                <w:rFonts w:ascii="Palatino Linotype" w:hAnsi="Palatino Linotype"/>
                <w:lang w:val="en-US"/>
              </w:rPr>
            </w:pPr>
          </w:p>
          <w:p w:rsidR="004A3EE7" w:rsidRDefault="004A3EE7" w:rsidP="001F0284">
            <w:pPr>
              <w:jc w:val="center"/>
              <w:rPr>
                <w:rFonts w:ascii="Palatino Linotype" w:hAnsi="Palatino Linotype"/>
                <w:lang w:val="en-US"/>
              </w:rPr>
            </w:pPr>
          </w:p>
          <w:p w:rsidR="004A3EE7" w:rsidRDefault="004A3EE7" w:rsidP="001F0284">
            <w:pPr>
              <w:jc w:val="center"/>
              <w:rPr>
                <w:rFonts w:ascii="Palatino Linotype" w:hAnsi="Palatino Linotype"/>
                <w:lang w:val="en-US"/>
              </w:rPr>
            </w:pPr>
          </w:p>
          <w:p w:rsidR="004A3EE7" w:rsidRDefault="004A3EE7" w:rsidP="001F0284">
            <w:pPr>
              <w:jc w:val="center"/>
              <w:rPr>
                <w:rFonts w:ascii="Palatino Linotype" w:hAnsi="Palatino Linotype"/>
                <w:lang w:val="en-US"/>
              </w:rPr>
            </w:pPr>
          </w:p>
          <w:p w:rsidR="004A3EE7" w:rsidRDefault="004A3EE7" w:rsidP="001F0284">
            <w:pPr>
              <w:jc w:val="center"/>
              <w:rPr>
                <w:rFonts w:ascii="Palatino Linotype" w:hAnsi="Palatino Linotype"/>
                <w:lang w:val="en-US"/>
              </w:rPr>
            </w:pPr>
          </w:p>
          <w:p w:rsidR="004A3EE7" w:rsidRDefault="004A3EE7" w:rsidP="001F0284">
            <w:pPr>
              <w:jc w:val="center"/>
              <w:rPr>
                <w:rFonts w:ascii="Palatino Linotype" w:hAnsi="Palatino Linotype"/>
                <w:lang w:val="en-US"/>
              </w:rPr>
            </w:pPr>
          </w:p>
          <w:p w:rsidR="004A3EE7" w:rsidRDefault="004A3EE7" w:rsidP="001F0284">
            <w:pPr>
              <w:jc w:val="center"/>
              <w:rPr>
                <w:rFonts w:ascii="Palatino Linotype" w:hAnsi="Palatino Linotype"/>
                <w:lang w:val="en-US"/>
              </w:rPr>
            </w:pPr>
          </w:p>
          <w:p w:rsidR="004A3EE7" w:rsidRDefault="004A3EE7" w:rsidP="001F0284">
            <w:pPr>
              <w:jc w:val="center"/>
              <w:rPr>
                <w:rFonts w:ascii="Palatino Linotype" w:hAnsi="Palatino Linotype"/>
                <w:lang w:val="en-US"/>
              </w:rPr>
            </w:pPr>
          </w:p>
          <w:p w:rsidR="004A3EE7" w:rsidRDefault="004A3EE7" w:rsidP="001F0284">
            <w:pPr>
              <w:jc w:val="center"/>
              <w:rPr>
                <w:rFonts w:ascii="Palatino Linotype" w:hAnsi="Palatino Linotype"/>
                <w:lang w:val="en-US"/>
              </w:rPr>
            </w:pPr>
          </w:p>
          <w:p w:rsidR="001F0284" w:rsidRPr="00612443" w:rsidRDefault="001F0284" w:rsidP="001F0284">
            <w:pPr>
              <w:jc w:val="center"/>
              <w:rPr>
                <w:rFonts w:ascii="Palatino Linotype" w:hAnsi="Palatino Linotype"/>
                <w:lang w:val="en-US"/>
              </w:rPr>
            </w:pPr>
            <w:r w:rsidRPr="00612443">
              <w:rPr>
                <w:rFonts w:ascii="Palatino Linotype" w:hAnsi="Palatino Linotype"/>
                <w:lang w:val="en-US"/>
              </w:rPr>
              <w:t>Figure 1</w:t>
            </w:r>
            <w:r w:rsidR="004A3EE7">
              <w:rPr>
                <w:rFonts w:ascii="Palatino Linotype" w:hAnsi="Palatino Linotype"/>
                <w:lang w:val="en-US"/>
              </w:rPr>
              <w:t>3</w:t>
            </w:r>
            <w:r w:rsidRPr="00612443">
              <w:rPr>
                <w:rFonts w:ascii="Palatino Linotype" w:hAnsi="Palatino Linotype"/>
                <w:lang w:val="en-US"/>
              </w:rPr>
              <w:t xml:space="preserve">: The 2008 </w:t>
            </w:r>
            <w:r w:rsidR="002A033E" w:rsidRPr="00612443">
              <w:rPr>
                <w:rFonts w:ascii="Palatino Linotype" w:hAnsi="Palatino Linotype"/>
                <w:lang w:val="en-US"/>
              </w:rPr>
              <w:t>intervention impact on the distribution of inflation expectations</w:t>
            </w:r>
          </w:p>
          <w:p w:rsidR="007C43CB" w:rsidRPr="00612443" w:rsidRDefault="001F0284" w:rsidP="001F0284">
            <w:pPr>
              <w:jc w:val="center"/>
              <w:rPr>
                <w:rFonts w:ascii="Palatino Linotype" w:hAnsi="Palatino Linotype"/>
                <w:lang w:val="en-US"/>
              </w:rPr>
            </w:pPr>
            <w:r w:rsidRPr="00612443">
              <w:rPr>
                <w:rFonts w:ascii="Palatino Linotype" w:hAnsi="Palatino Linotype"/>
                <w:lang w:val="en-US"/>
              </w:rPr>
              <w:t>Expectations 1</w:t>
            </w:r>
            <w:r w:rsidR="0072263D" w:rsidRPr="00612443">
              <w:rPr>
                <w:rFonts w:ascii="Palatino Linotype" w:hAnsi="Palatino Linotype"/>
                <w:lang w:val="en-US"/>
              </w:rPr>
              <w:t>2</w:t>
            </w:r>
            <w:r w:rsidRPr="00612443">
              <w:rPr>
                <w:rFonts w:ascii="Palatino Linotype" w:hAnsi="Palatino Linotype"/>
                <w:lang w:val="en-US"/>
              </w:rPr>
              <w:t xml:space="preserve"> </w:t>
            </w:r>
            <w:r w:rsidR="002A033E" w:rsidRPr="00612443">
              <w:rPr>
                <w:rFonts w:ascii="Palatino Linotype" w:hAnsi="Palatino Linotype"/>
                <w:lang w:val="en-US"/>
              </w:rPr>
              <w:t>months ahead</w:t>
            </w:r>
          </w:p>
        </w:tc>
      </w:tr>
      <w:tr w:rsidR="007C43CB" w:rsidRPr="00612443" w:rsidTr="004A3EE7">
        <w:tc>
          <w:tcPr>
            <w:tcW w:w="9054" w:type="dxa"/>
            <w:vAlign w:val="center"/>
          </w:tcPr>
          <w:p w:rsidR="007C43CB" w:rsidRPr="00612443" w:rsidRDefault="001F0284" w:rsidP="007C43CB">
            <w:pPr>
              <w:jc w:val="center"/>
              <w:rPr>
                <w:rFonts w:ascii="Palatino Linotype" w:hAnsi="Palatino Linotype"/>
                <w:lang w:val="en-US"/>
              </w:rPr>
            </w:pPr>
            <w:r w:rsidRPr="00612443">
              <w:rPr>
                <w:rFonts w:ascii="Palatino Linotype" w:hAnsi="Palatino Linotype"/>
                <w:lang w:val="en-US" w:eastAsia="en-US"/>
              </w:rPr>
              <w:lastRenderedPageBreak/>
              <w:drawing>
                <wp:inline distT="0" distB="0" distL="0" distR="0" wp14:anchorId="5B7A47E3" wp14:editId="7D24BA3C">
                  <wp:extent cx="5144494" cy="3603708"/>
                  <wp:effectExtent l="0" t="0" r="0" b="0"/>
                  <wp:docPr id="23" name="22 Imagen" descr="Figure1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0.wmf"/>
                          <pic:cNvPicPr/>
                        </pic:nvPicPr>
                        <pic:blipFill>
                          <a:blip r:embed="rId121"/>
                          <a:stretch>
                            <a:fillRect/>
                          </a:stretch>
                        </pic:blipFill>
                        <pic:spPr>
                          <a:xfrm>
                            <a:off x="0" y="0"/>
                            <a:ext cx="5154540" cy="3610745"/>
                          </a:xfrm>
                          <a:prstGeom prst="rect">
                            <a:avLst/>
                          </a:prstGeom>
                        </pic:spPr>
                      </pic:pic>
                    </a:graphicData>
                  </a:graphic>
                </wp:inline>
              </w:drawing>
            </w:r>
          </w:p>
        </w:tc>
      </w:tr>
      <w:tr w:rsidR="007C43CB" w:rsidRPr="00612443" w:rsidTr="004A3EE7">
        <w:tc>
          <w:tcPr>
            <w:tcW w:w="9054" w:type="dxa"/>
            <w:vAlign w:val="center"/>
          </w:tcPr>
          <w:p w:rsidR="004A3EE7" w:rsidRDefault="004A3EE7" w:rsidP="001F0284">
            <w:pPr>
              <w:jc w:val="center"/>
              <w:rPr>
                <w:rFonts w:ascii="Palatino Linotype" w:hAnsi="Palatino Linotype"/>
                <w:lang w:val="en-US"/>
              </w:rPr>
            </w:pPr>
          </w:p>
          <w:p w:rsidR="004A3EE7" w:rsidRDefault="004A3EE7" w:rsidP="001F0284">
            <w:pPr>
              <w:jc w:val="center"/>
              <w:rPr>
                <w:rFonts w:ascii="Palatino Linotype" w:hAnsi="Palatino Linotype"/>
                <w:lang w:val="en-US"/>
              </w:rPr>
            </w:pPr>
          </w:p>
          <w:p w:rsidR="001F0284" w:rsidRPr="00612443" w:rsidRDefault="001F0284" w:rsidP="001F0284">
            <w:pPr>
              <w:jc w:val="center"/>
              <w:rPr>
                <w:rFonts w:ascii="Palatino Linotype" w:hAnsi="Palatino Linotype"/>
                <w:lang w:val="en-US"/>
              </w:rPr>
            </w:pPr>
            <w:r w:rsidRPr="00612443">
              <w:rPr>
                <w:rFonts w:ascii="Palatino Linotype" w:hAnsi="Palatino Linotype"/>
                <w:lang w:val="en-US"/>
              </w:rPr>
              <w:t>Figure 1</w:t>
            </w:r>
            <w:r w:rsidR="004A3EE7">
              <w:rPr>
                <w:rFonts w:ascii="Palatino Linotype" w:hAnsi="Palatino Linotype"/>
                <w:lang w:val="en-US"/>
              </w:rPr>
              <w:t>4</w:t>
            </w:r>
            <w:r w:rsidRPr="00612443">
              <w:rPr>
                <w:rFonts w:ascii="Palatino Linotype" w:hAnsi="Palatino Linotype"/>
                <w:lang w:val="en-US"/>
              </w:rPr>
              <w:t>: The 2008</w:t>
            </w:r>
            <w:r w:rsidR="002A033E" w:rsidRPr="00612443">
              <w:rPr>
                <w:rFonts w:ascii="Palatino Linotype" w:hAnsi="Palatino Linotype"/>
                <w:lang w:val="en-US"/>
              </w:rPr>
              <w:t xml:space="preserve"> intervention impact on the distribution of inflation expectations</w:t>
            </w:r>
          </w:p>
          <w:p w:rsidR="007C43CB" w:rsidRPr="00612443" w:rsidRDefault="001F0284" w:rsidP="0072263D">
            <w:pPr>
              <w:jc w:val="center"/>
              <w:rPr>
                <w:rFonts w:ascii="Palatino Linotype" w:hAnsi="Palatino Linotype"/>
                <w:lang w:val="en-US"/>
              </w:rPr>
            </w:pPr>
            <w:r w:rsidRPr="00612443">
              <w:rPr>
                <w:rFonts w:ascii="Palatino Linotype" w:hAnsi="Palatino Linotype"/>
                <w:lang w:val="en-US"/>
              </w:rPr>
              <w:t xml:space="preserve">Expectations </w:t>
            </w:r>
            <w:r w:rsidR="0072263D" w:rsidRPr="00612443">
              <w:rPr>
                <w:rFonts w:ascii="Palatino Linotype" w:hAnsi="Palatino Linotype"/>
                <w:lang w:val="en-US"/>
              </w:rPr>
              <w:t>24</w:t>
            </w:r>
            <w:r w:rsidRPr="00612443">
              <w:rPr>
                <w:rFonts w:ascii="Palatino Linotype" w:hAnsi="Palatino Linotype"/>
                <w:lang w:val="en-US"/>
              </w:rPr>
              <w:t xml:space="preserve"> </w:t>
            </w:r>
            <w:r w:rsidR="002A033E" w:rsidRPr="00612443">
              <w:rPr>
                <w:rFonts w:ascii="Palatino Linotype" w:hAnsi="Palatino Linotype"/>
                <w:lang w:val="en-US"/>
              </w:rPr>
              <w:t>months ahead</w:t>
            </w:r>
          </w:p>
        </w:tc>
      </w:tr>
      <w:tr w:rsidR="007C43CB" w:rsidRPr="00612443" w:rsidTr="004A3EE7">
        <w:tc>
          <w:tcPr>
            <w:tcW w:w="9054" w:type="dxa"/>
            <w:vAlign w:val="center"/>
          </w:tcPr>
          <w:p w:rsidR="007C43CB" w:rsidRPr="00612443" w:rsidRDefault="001F0284" w:rsidP="007C43CB">
            <w:pPr>
              <w:jc w:val="center"/>
              <w:rPr>
                <w:rFonts w:ascii="Palatino Linotype" w:hAnsi="Palatino Linotype"/>
                <w:lang w:val="en-US"/>
              </w:rPr>
            </w:pPr>
            <w:r w:rsidRPr="00612443">
              <w:rPr>
                <w:rFonts w:ascii="Palatino Linotype" w:hAnsi="Palatino Linotype"/>
                <w:lang w:val="en-US" w:eastAsia="en-US"/>
              </w:rPr>
              <w:drawing>
                <wp:inline distT="0" distB="0" distL="0" distR="0" wp14:anchorId="73CE93C4" wp14:editId="5707CB80">
                  <wp:extent cx="5612130" cy="3559810"/>
                  <wp:effectExtent l="0" t="0" r="0" b="0"/>
                  <wp:docPr id="24" name="23 Imagen" descr="Figure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1.wmf"/>
                          <pic:cNvPicPr/>
                        </pic:nvPicPr>
                        <pic:blipFill>
                          <a:blip r:embed="rId122"/>
                          <a:stretch>
                            <a:fillRect/>
                          </a:stretch>
                        </pic:blipFill>
                        <pic:spPr>
                          <a:xfrm>
                            <a:off x="0" y="0"/>
                            <a:ext cx="5612130" cy="3559810"/>
                          </a:xfrm>
                          <a:prstGeom prst="rect">
                            <a:avLst/>
                          </a:prstGeom>
                        </pic:spPr>
                      </pic:pic>
                    </a:graphicData>
                  </a:graphic>
                </wp:inline>
              </w:drawing>
            </w:r>
          </w:p>
        </w:tc>
      </w:tr>
      <w:tr w:rsidR="0002139D" w:rsidRPr="00612443" w:rsidTr="004A3EE7">
        <w:tc>
          <w:tcPr>
            <w:tcW w:w="9054" w:type="dxa"/>
            <w:vAlign w:val="center"/>
          </w:tcPr>
          <w:p w:rsidR="0002139D" w:rsidRPr="00612443" w:rsidRDefault="0002139D" w:rsidP="007C43CB">
            <w:pPr>
              <w:jc w:val="center"/>
              <w:rPr>
                <w:rFonts w:ascii="Palatino Linotype" w:hAnsi="Palatino Linotype"/>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02139D" w:rsidRPr="00612443" w:rsidTr="0049257F">
              <w:tc>
                <w:tcPr>
                  <w:tcW w:w="8978" w:type="dxa"/>
                  <w:vAlign w:val="center"/>
                </w:tcPr>
                <w:p w:rsidR="0002139D" w:rsidRPr="00612443" w:rsidRDefault="0002139D" w:rsidP="0049257F">
                  <w:pPr>
                    <w:jc w:val="center"/>
                    <w:rPr>
                      <w:rFonts w:ascii="Palatino Linotype" w:hAnsi="Palatino Linotype"/>
                      <w:lang w:val="en-US"/>
                    </w:rPr>
                  </w:pPr>
                  <w:r w:rsidRPr="00612443">
                    <w:rPr>
                      <w:rFonts w:ascii="Palatino Linotype" w:hAnsi="Palatino Linotype"/>
                      <w:lang w:val="en-US"/>
                    </w:rPr>
                    <w:t>Figure 1</w:t>
                  </w:r>
                  <w:r w:rsidR="004A3EE7">
                    <w:rPr>
                      <w:rFonts w:ascii="Palatino Linotype" w:hAnsi="Palatino Linotype"/>
                      <w:lang w:val="en-US"/>
                    </w:rPr>
                    <w:t>5</w:t>
                  </w:r>
                  <w:r w:rsidRPr="00612443">
                    <w:rPr>
                      <w:rFonts w:ascii="Palatino Linotype" w:hAnsi="Palatino Linotype"/>
                      <w:lang w:val="en-US"/>
                    </w:rPr>
                    <w:t xml:space="preserve">: The 2011 </w:t>
                  </w:r>
                  <w:r w:rsidR="002A033E" w:rsidRPr="00612443">
                    <w:rPr>
                      <w:rFonts w:ascii="Palatino Linotype" w:hAnsi="Palatino Linotype"/>
                      <w:lang w:val="en-US"/>
                    </w:rPr>
                    <w:t>intervention impact on the distribution of inflation expectations</w:t>
                  </w:r>
                </w:p>
                <w:p w:rsidR="0002139D" w:rsidRPr="00612443" w:rsidRDefault="0002139D" w:rsidP="0049257F">
                  <w:pPr>
                    <w:jc w:val="center"/>
                    <w:rPr>
                      <w:rFonts w:ascii="Palatino Linotype" w:hAnsi="Palatino Linotype"/>
                      <w:lang w:val="en-US"/>
                    </w:rPr>
                  </w:pPr>
                  <w:r w:rsidRPr="00612443">
                    <w:rPr>
                      <w:rFonts w:ascii="Palatino Linotype" w:hAnsi="Palatino Linotype"/>
                      <w:lang w:val="en-US"/>
                    </w:rPr>
                    <w:lastRenderedPageBreak/>
                    <w:t xml:space="preserve">Expectations </w:t>
                  </w:r>
                  <w:r w:rsidR="002A033E" w:rsidRPr="00612443">
                    <w:rPr>
                      <w:rFonts w:ascii="Palatino Linotype" w:hAnsi="Palatino Linotype"/>
                      <w:lang w:val="en-US"/>
                    </w:rPr>
                    <w:t>one</w:t>
                  </w:r>
                  <w:r w:rsidRPr="00612443">
                    <w:rPr>
                      <w:rFonts w:ascii="Palatino Linotype" w:hAnsi="Palatino Linotype"/>
                      <w:lang w:val="en-US"/>
                    </w:rPr>
                    <w:t xml:space="preserve"> </w:t>
                  </w:r>
                  <w:r w:rsidR="002A033E" w:rsidRPr="00612443">
                    <w:rPr>
                      <w:rFonts w:ascii="Palatino Linotype" w:hAnsi="Palatino Linotype"/>
                      <w:lang w:val="en-US"/>
                    </w:rPr>
                    <w:t>month ahead</w:t>
                  </w:r>
                </w:p>
              </w:tc>
            </w:tr>
            <w:tr w:rsidR="0002139D" w:rsidRPr="00612443" w:rsidTr="0049257F">
              <w:tc>
                <w:tcPr>
                  <w:tcW w:w="8978" w:type="dxa"/>
                  <w:vAlign w:val="center"/>
                </w:tcPr>
                <w:p w:rsidR="0002139D" w:rsidRPr="00612443" w:rsidRDefault="0002139D" w:rsidP="0049257F">
                  <w:pPr>
                    <w:jc w:val="center"/>
                    <w:rPr>
                      <w:rFonts w:ascii="Palatino Linotype" w:hAnsi="Palatino Linotype"/>
                      <w:lang w:val="en-US"/>
                    </w:rPr>
                  </w:pPr>
                  <w:r w:rsidRPr="00612443">
                    <w:rPr>
                      <w:rFonts w:ascii="Palatino Linotype" w:hAnsi="Palatino Linotype"/>
                      <w:lang w:val="en-US" w:eastAsia="en-US"/>
                    </w:rPr>
                    <w:lastRenderedPageBreak/>
                    <w:drawing>
                      <wp:inline distT="0" distB="0" distL="0" distR="0" wp14:anchorId="1EADB5FB" wp14:editId="092B0DEB">
                        <wp:extent cx="5612130" cy="3931285"/>
                        <wp:effectExtent l="0" t="0" r="7620" b="0"/>
                        <wp:docPr id="28" name="27 Imagen" descr="Figure1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2.wmf"/>
                                <pic:cNvPicPr/>
                              </pic:nvPicPr>
                              <pic:blipFill>
                                <a:blip r:embed="rId123"/>
                                <a:stretch>
                                  <a:fillRect/>
                                </a:stretch>
                              </pic:blipFill>
                              <pic:spPr>
                                <a:xfrm>
                                  <a:off x="0" y="0"/>
                                  <a:ext cx="5612130" cy="3931285"/>
                                </a:xfrm>
                                <a:prstGeom prst="rect">
                                  <a:avLst/>
                                </a:prstGeom>
                              </pic:spPr>
                            </pic:pic>
                          </a:graphicData>
                        </a:graphic>
                      </wp:inline>
                    </w:drawing>
                  </w:r>
                </w:p>
              </w:tc>
            </w:tr>
            <w:tr w:rsidR="0002139D" w:rsidRPr="00612443" w:rsidTr="0049257F">
              <w:tc>
                <w:tcPr>
                  <w:tcW w:w="8978" w:type="dxa"/>
                  <w:vAlign w:val="center"/>
                </w:tcPr>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4A3EE7" w:rsidRDefault="004A3EE7" w:rsidP="0049257F">
                  <w:pPr>
                    <w:jc w:val="center"/>
                    <w:rPr>
                      <w:rFonts w:ascii="Palatino Linotype" w:hAnsi="Palatino Linotype"/>
                      <w:lang w:val="en-US"/>
                    </w:rPr>
                  </w:pPr>
                </w:p>
                <w:p w:rsidR="0002139D" w:rsidRPr="00612443" w:rsidRDefault="0002139D" w:rsidP="0049257F">
                  <w:pPr>
                    <w:jc w:val="center"/>
                    <w:rPr>
                      <w:rFonts w:ascii="Palatino Linotype" w:hAnsi="Palatino Linotype"/>
                      <w:lang w:val="en-US"/>
                    </w:rPr>
                  </w:pPr>
                  <w:r w:rsidRPr="00612443">
                    <w:rPr>
                      <w:rFonts w:ascii="Palatino Linotype" w:hAnsi="Palatino Linotype"/>
                      <w:lang w:val="en-US"/>
                    </w:rPr>
                    <w:t>Figure 1</w:t>
                  </w:r>
                  <w:r w:rsidR="004A3EE7">
                    <w:rPr>
                      <w:rFonts w:ascii="Palatino Linotype" w:hAnsi="Palatino Linotype"/>
                      <w:lang w:val="en-US"/>
                    </w:rPr>
                    <w:t>6</w:t>
                  </w:r>
                  <w:r w:rsidRPr="00612443">
                    <w:rPr>
                      <w:rFonts w:ascii="Palatino Linotype" w:hAnsi="Palatino Linotype"/>
                      <w:lang w:val="en-US"/>
                    </w:rPr>
                    <w:t xml:space="preserve">: The 2011 </w:t>
                  </w:r>
                  <w:r w:rsidR="002A033E" w:rsidRPr="00612443">
                    <w:rPr>
                      <w:rFonts w:ascii="Palatino Linotype" w:hAnsi="Palatino Linotype"/>
                      <w:lang w:val="en-US"/>
                    </w:rPr>
                    <w:t>intervention impact on the distribution of inflation expectations</w:t>
                  </w:r>
                </w:p>
                <w:p w:rsidR="0002139D" w:rsidRPr="00612443" w:rsidRDefault="0002139D" w:rsidP="0049257F">
                  <w:pPr>
                    <w:jc w:val="center"/>
                    <w:rPr>
                      <w:rFonts w:ascii="Palatino Linotype" w:hAnsi="Palatino Linotype"/>
                      <w:lang w:val="en-US"/>
                    </w:rPr>
                  </w:pPr>
                  <w:r w:rsidRPr="00612443">
                    <w:rPr>
                      <w:rFonts w:ascii="Palatino Linotype" w:hAnsi="Palatino Linotype"/>
                      <w:lang w:val="en-US"/>
                    </w:rPr>
                    <w:t>Expectations 1</w:t>
                  </w:r>
                  <w:r w:rsidR="0072263D" w:rsidRPr="00612443">
                    <w:rPr>
                      <w:rFonts w:ascii="Palatino Linotype" w:hAnsi="Palatino Linotype"/>
                      <w:lang w:val="en-US"/>
                    </w:rPr>
                    <w:t>2</w:t>
                  </w:r>
                  <w:r w:rsidRPr="00612443">
                    <w:rPr>
                      <w:rFonts w:ascii="Palatino Linotype" w:hAnsi="Palatino Linotype"/>
                      <w:lang w:val="en-US"/>
                    </w:rPr>
                    <w:t xml:space="preserve"> </w:t>
                  </w:r>
                  <w:r w:rsidR="002A033E" w:rsidRPr="00612443">
                    <w:rPr>
                      <w:rFonts w:ascii="Palatino Linotype" w:hAnsi="Palatino Linotype"/>
                      <w:lang w:val="en-US"/>
                    </w:rPr>
                    <w:t>months ahead</w:t>
                  </w:r>
                </w:p>
              </w:tc>
            </w:tr>
            <w:tr w:rsidR="0002139D" w:rsidRPr="00612443" w:rsidTr="0049257F">
              <w:tc>
                <w:tcPr>
                  <w:tcW w:w="8978" w:type="dxa"/>
                  <w:vAlign w:val="center"/>
                </w:tcPr>
                <w:p w:rsidR="0002139D" w:rsidRPr="00612443" w:rsidRDefault="0002139D" w:rsidP="0049257F">
                  <w:pPr>
                    <w:jc w:val="center"/>
                    <w:rPr>
                      <w:rFonts w:ascii="Palatino Linotype" w:hAnsi="Palatino Linotype"/>
                      <w:lang w:val="en-US"/>
                    </w:rPr>
                  </w:pPr>
                  <w:r w:rsidRPr="00612443">
                    <w:rPr>
                      <w:rFonts w:ascii="Palatino Linotype" w:hAnsi="Palatino Linotype"/>
                      <w:lang w:val="en-US" w:eastAsia="en-US"/>
                    </w:rPr>
                    <w:lastRenderedPageBreak/>
                    <w:drawing>
                      <wp:inline distT="0" distB="0" distL="0" distR="0" wp14:anchorId="53C19888" wp14:editId="45058108">
                        <wp:extent cx="5612130" cy="3334385"/>
                        <wp:effectExtent l="0" t="0" r="7620" b="0"/>
                        <wp:docPr id="29" name="28 Imagen" descr="Figure1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3.wmf"/>
                                <pic:cNvPicPr/>
                              </pic:nvPicPr>
                              <pic:blipFill>
                                <a:blip r:embed="rId124"/>
                                <a:stretch>
                                  <a:fillRect/>
                                </a:stretch>
                              </pic:blipFill>
                              <pic:spPr>
                                <a:xfrm>
                                  <a:off x="0" y="0"/>
                                  <a:ext cx="5612130" cy="3334385"/>
                                </a:xfrm>
                                <a:prstGeom prst="rect">
                                  <a:avLst/>
                                </a:prstGeom>
                              </pic:spPr>
                            </pic:pic>
                          </a:graphicData>
                        </a:graphic>
                      </wp:inline>
                    </w:drawing>
                  </w:r>
                </w:p>
              </w:tc>
            </w:tr>
            <w:tr w:rsidR="0002139D" w:rsidRPr="00612443" w:rsidTr="0049257F">
              <w:tc>
                <w:tcPr>
                  <w:tcW w:w="8978" w:type="dxa"/>
                  <w:vAlign w:val="center"/>
                </w:tcPr>
                <w:p w:rsidR="0002139D" w:rsidRPr="00612443" w:rsidRDefault="0002139D" w:rsidP="0049257F">
                  <w:pPr>
                    <w:jc w:val="center"/>
                    <w:rPr>
                      <w:rFonts w:ascii="Palatino Linotype" w:hAnsi="Palatino Linotype"/>
                      <w:lang w:val="en-US"/>
                    </w:rPr>
                  </w:pPr>
                </w:p>
                <w:p w:rsidR="0002139D" w:rsidRPr="00612443" w:rsidRDefault="0002139D" w:rsidP="0049257F">
                  <w:pPr>
                    <w:jc w:val="center"/>
                    <w:rPr>
                      <w:rFonts w:ascii="Palatino Linotype" w:hAnsi="Palatino Linotype"/>
                      <w:lang w:val="en-US"/>
                    </w:rPr>
                  </w:pPr>
                  <w:r w:rsidRPr="00612443">
                    <w:rPr>
                      <w:rFonts w:ascii="Palatino Linotype" w:hAnsi="Palatino Linotype"/>
                      <w:lang w:val="en-US"/>
                    </w:rPr>
                    <w:t>Figure 1</w:t>
                  </w:r>
                  <w:r w:rsidR="004A3EE7">
                    <w:rPr>
                      <w:rFonts w:ascii="Palatino Linotype" w:hAnsi="Palatino Linotype"/>
                      <w:lang w:val="en-US"/>
                    </w:rPr>
                    <w:t>7</w:t>
                  </w:r>
                  <w:r w:rsidRPr="00612443">
                    <w:rPr>
                      <w:rFonts w:ascii="Palatino Linotype" w:hAnsi="Palatino Linotype"/>
                      <w:lang w:val="en-US"/>
                    </w:rPr>
                    <w:t xml:space="preserve">: The 2011 </w:t>
                  </w:r>
                  <w:r w:rsidR="002A033E" w:rsidRPr="00612443">
                    <w:rPr>
                      <w:rFonts w:ascii="Palatino Linotype" w:hAnsi="Palatino Linotype"/>
                      <w:lang w:val="en-US"/>
                    </w:rPr>
                    <w:t>intervention impact on the distribution of inflation expectations</w:t>
                  </w:r>
                </w:p>
                <w:p w:rsidR="0002139D" w:rsidRPr="00612443" w:rsidRDefault="0002139D" w:rsidP="0072263D">
                  <w:pPr>
                    <w:jc w:val="center"/>
                    <w:rPr>
                      <w:rFonts w:ascii="Palatino Linotype" w:hAnsi="Palatino Linotype"/>
                      <w:lang w:val="en-US"/>
                    </w:rPr>
                  </w:pPr>
                  <w:r w:rsidRPr="00612443">
                    <w:rPr>
                      <w:rFonts w:ascii="Palatino Linotype" w:hAnsi="Palatino Linotype"/>
                      <w:lang w:val="en-US"/>
                    </w:rPr>
                    <w:t xml:space="preserve">Expectations </w:t>
                  </w:r>
                  <w:r w:rsidR="0072263D" w:rsidRPr="00612443">
                    <w:rPr>
                      <w:rFonts w:ascii="Palatino Linotype" w:hAnsi="Palatino Linotype"/>
                      <w:lang w:val="en-US"/>
                    </w:rPr>
                    <w:t>24</w:t>
                  </w:r>
                  <w:r w:rsidRPr="00612443">
                    <w:rPr>
                      <w:rFonts w:ascii="Palatino Linotype" w:hAnsi="Palatino Linotype"/>
                      <w:lang w:val="en-US"/>
                    </w:rPr>
                    <w:t xml:space="preserve"> </w:t>
                  </w:r>
                  <w:r w:rsidR="002A033E" w:rsidRPr="00612443">
                    <w:rPr>
                      <w:rFonts w:ascii="Palatino Linotype" w:hAnsi="Palatino Linotype"/>
                      <w:lang w:val="en-US"/>
                    </w:rPr>
                    <w:t>months ahead</w:t>
                  </w:r>
                </w:p>
              </w:tc>
            </w:tr>
            <w:tr w:rsidR="0002139D" w:rsidRPr="00612443" w:rsidTr="0049257F">
              <w:tc>
                <w:tcPr>
                  <w:tcW w:w="8978" w:type="dxa"/>
                  <w:vAlign w:val="center"/>
                </w:tcPr>
                <w:p w:rsidR="0002139D" w:rsidRPr="00612443" w:rsidRDefault="0002139D" w:rsidP="0049257F">
                  <w:pPr>
                    <w:jc w:val="center"/>
                    <w:rPr>
                      <w:rFonts w:ascii="Palatino Linotype" w:hAnsi="Palatino Linotype"/>
                      <w:lang w:val="en-US"/>
                    </w:rPr>
                  </w:pPr>
                  <w:r w:rsidRPr="00612443">
                    <w:rPr>
                      <w:rFonts w:ascii="Palatino Linotype" w:hAnsi="Palatino Linotype"/>
                      <w:lang w:val="en-US" w:eastAsia="en-US"/>
                    </w:rPr>
                    <w:drawing>
                      <wp:inline distT="0" distB="0" distL="0" distR="0" wp14:anchorId="7F33F1C2" wp14:editId="06CEA839">
                        <wp:extent cx="5612130" cy="3334385"/>
                        <wp:effectExtent l="0" t="0" r="7620" b="0"/>
                        <wp:docPr id="30" name="29 Imagen" descr="Figure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4.wmf"/>
                                <pic:cNvPicPr/>
                              </pic:nvPicPr>
                              <pic:blipFill>
                                <a:blip r:embed="rId125"/>
                                <a:stretch>
                                  <a:fillRect/>
                                </a:stretch>
                              </pic:blipFill>
                              <pic:spPr>
                                <a:xfrm>
                                  <a:off x="0" y="0"/>
                                  <a:ext cx="5612130" cy="3334385"/>
                                </a:xfrm>
                                <a:prstGeom prst="rect">
                                  <a:avLst/>
                                </a:prstGeom>
                              </pic:spPr>
                            </pic:pic>
                          </a:graphicData>
                        </a:graphic>
                      </wp:inline>
                    </w:drawing>
                  </w:r>
                </w:p>
              </w:tc>
            </w:tr>
          </w:tbl>
          <w:p w:rsidR="0002139D" w:rsidRPr="00612443" w:rsidRDefault="0002139D" w:rsidP="007C43CB">
            <w:pPr>
              <w:jc w:val="center"/>
              <w:rPr>
                <w:rFonts w:ascii="Palatino Linotype" w:hAnsi="Palatino Linotype"/>
                <w:lang w:val="en-US"/>
              </w:rPr>
            </w:pPr>
          </w:p>
        </w:tc>
      </w:tr>
    </w:tbl>
    <w:p w:rsidR="0058159B" w:rsidRPr="00612443" w:rsidRDefault="0058159B" w:rsidP="0058159B">
      <w:pPr>
        <w:rPr>
          <w:rFonts w:ascii="Palatino Linotype" w:hAnsi="Palatino Linotype"/>
          <w:lang w:val="en-US"/>
        </w:rPr>
      </w:pPr>
    </w:p>
    <w:p w:rsidR="0002139D" w:rsidRPr="00612443" w:rsidRDefault="0002139D" w:rsidP="0058159B">
      <w:pPr>
        <w:rPr>
          <w:rFonts w:ascii="Palatino Linotype" w:hAnsi="Palatino Linotype"/>
          <w:lang w:val="en-US"/>
        </w:rPr>
      </w:pPr>
    </w:p>
    <w:p w:rsidR="0002139D" w:rsidRPr="00612443" w:rsidRDefault="0002139D" w:rsidP="0058159B">
      <w:pPr>
        <w:rPr>
          <w:rFonts w:ascii="Palatino Linotype" w:hAnsi="Palatino Linotype"/>
          <w:lang w:val="en-US"/>
        </w:rPr>
      </w:pPr>
    </w:p>
    <w:p w:rsidR="00CF7470" w:rsidRPr="00612443" w:rsidRDefault="00CF7470">
      <w:pPr>
        <w:ind w:firstLine="300"/>
        <w:rPr>
          <w:rFonts w:ascii="Palatino Linotype" w:hAnsi="Palatino Linotype"/>
          <w:sz w:val="22"/>
          <w:szCs w:val="22"/>
          <w:lang w:val="en-US"/>
        </w:rPr>
      </w:pPr>
    </w:p>
    <w:p w:rsidR="00D67271" w:rsidRPr="00612443" w:rsidRDefault="000D18E6" w:rsidP="007D5E9A">
      <w:pPr>
        <w:pStyle w:val="Ttulo2"/>
        <w:widowControl/>
        <w:numPr>
          <w:ilvl w:val="0"/>
          <w:numId w:val="1"/>
        </w:numPr>
        <w:spacing w:before="360"/>
        <w:rPr>
          <w:rFonts w:ascii="Palatino Linotype" w:hAnsi="Palatino Linotype"/>
          <w:szCs w:val="28"/>
          <w:lang w:val="en-US"/>
        </w:rPr>
      </w:pPr>
      <w:r w:rsidRPr="00612443">
        <w:rPr>
          <w:rFonts w:ascii="Palatino Linotype" w:hAnsi="Palatino Linotype"/>
          <w:szCs w:val="28"/>
          <w:lang w:val="en-US"/>
        </w:rPr>
        <w:lastRenderedPageBreak/>
        <w:t>Conclusions</w:t>
      </w:r>
    </w:p>
    <w:p w:rsidR="00F92B7C" w:rsidRPr="00612443" w:rsidRDefault="00F92B7C" w:rsidP="00F92B7C">
      <w:pPr>
        <w:rPr>
          <w:rFonts w:ascii="Palatino Linotype" w:hAnsi="Palatino Linotype"/>
          <w:lang w:val="en-US"/>
        </w:rPr>
      </w:pPr>
    </w:p>
    <w:p w:rsidR="0012589F" w:rsidRPr="00612443" w:rsidRDefault="0012589F" w:rsidP="0058159B">
      <w:pPr>
        <w:spacing w:before="60"/>
        <w:ind w:firstLine="300"/>
        <w:rPr>
          <w:rFonts w:ascii="Palatino Linotype" w:hAnsi="Palatino Linotype"/>
          <w:sz w:val="22"/>
          <w:szCs w:val="22"/>
          <w:lang w:val="en-US"/>
        </w:rPr>
      </w:pPr>
      <w:r w:rsidRPr="00612443">
        <w:rPr>
          <w:rFonts w:ascii="Palatino Linotype" w:hAnsi="Palatino Linotype"/>
          <w:sz w:val="22"/>
          <w:szCs w:val="22"/>
          <w:lang w:val="en-US"/>
        </w:rPr>
        <w:t xml:space="preserve">Sterilised </w:t>
      </w:r>
      <w:r w:rsidR="00A60AA3" w:rsidRPr="00612443">
        <w:rPr>
          <w:rFonts w:ascii="Palatino Linotype" w:hAnsi="Palatino Linotype"/>
          <w:sz w:val="22"/>
          <w:szCs w:val="22"/>
          <w:lang w:val="en-US"/>
        </w:rPr>
        <w:t>e</w:t>
      </w:r>
      <w:r w:rsidR="000D18E6" w:rsidRPr="00612443">
        <w:rPr>
          <w:rFonts w:ascii="Palatino Linotype" w:hAnsi="Palatino Linotype"/>
          <w:sz w:val="22"/>
          <w:szCs w:val="22"/>
          <w:lang w:val="en-US"/>
        </w:rPr>
        <w:t xml:space="preserve">xchange rate interventions are controversial for a number of reasons. Part of this controversy is related to the huge amount of resources that are typically involved. They are also controversial because it is not entirely clear if they are successful in fulfilling the implicit or explicit goal </w:t>
      </w:r>
      <w:r w:rsidR="00A60AA3" w:rsidRPr="00612443">
        <w:rPr>
          <w:rFonts w:ascii="Palatino Linotype" w:hAnsi="Palatino Linotype"/>
          <w:sz w:val="22"/>
          <w:szCs w:val="22"/>
          <w:lang w:val="en-US"/>
        </w:rPr>
        <w:t>they are designed to satisfy</w:t>
      </w:r>
      <w:r w:rsidR="009E53B5" w:rsidRPr="00612443">
        <w:rPr>
          <w:rFonts w:ascii="Palatino Linotype" w:hAnsi="Palatino Linotype"/>
          <w:sz w:val="22"/>
          <w:szCs w:val="22"/>
          <w:lang w:val="en-US"/>
        </w:rPr>
        <w:t>,</w:t>
      </w:r>
      <w:r w:rsidR="000D18E6" w:rsidRPr="00612443">
        <w:rPr>
          <w:rFonts w:ascii="Palatino Linotype" w:hAnsi="Palatino Linotype"/>
          <w:sz w:val="22"/>
          <w:szCs w:val="22"/>
          <w:lang w:val="en-US"/>
        </w:rPr>
        <w:t xml:space="preserve"> and the empirical evidence provides mixed results in this respect. In the case of inflation targeting countries, there is an additional source of controversy: </w:t>
      </w:r>
      <w:r w:rsidR="00D174C9" w:rsidRPr="00612443">
        <w:rPr>
          <w:rFonts w:ascii="Palatino Linotype" w:hAnsi="Palatino Linotype"/>
          <w:sz w:val="22"/>
          <w:szCs w:val="22"/>
          <w:lang w:val="en-US"/>
        </w:rPr>
        <w:t>i</w:t>
      </w:r>
      <w:r w:rsidR="000D18E6" w:rsidRPr="00612443">
        <w:rPr>
          <w:rFonts w:ascii="Palatino Linotype" w:hAnsi="Palatino Linotype"/>
          <w:sz w:val="22"/>
          <w:szCs w:val="22"/>
          <w:lang w:val="en-US"/>
        </w:rPr>
        <w:t>rrespective of their effectiveness, interventions may have the collateral effect of an</w:t>
      </w:r>
      <w:r w:rsidRPr="00612443">
        <w:rPr>
          <w:rFonts w:ascii="Palatino Linotype" w:hAnsi="Palatino Linotype"/>
          <w:sz w:val="22"/>
          <w:szCs w:val="22"/>
          <w:lang w:val="en-US"/>
        </w:rPr>
        <w:t xml:space="preserve"> undesired</w:t>
      </w:r>
      <w:r w:rsidR="000D18E6" w:rsidRPr="00612443">
        <w:rPr>
          <w:rFonts w:ascii="Palatino Linotype" w:hAnsi="Palatino Linotype"/>
          <w:sz w:val="22"/>
          <w:szCs w:val="22"/>
          <w:lang w:val="en-US"/>
        </w:rPr>
        <w:t xml:space="preserve"> impact on the distribution of inflation expectations. </w:t>
      </w:r>
      <w:r w:rsidRPr="00612443">
        <w:rPr>
          <w:rFonts w:ascii="Palatino Linotype" w:hAnsi="Palatino Linotype"/>
          <w:sz w:val="22"/>
          <w:szCs w:val="22"/>
          <w:lang w:val="en-US"/>
        </w:rPr>
        <w:t xml:space="preserve">This may happen because it </w:t>
      </w:r>
      <w:r w:rsidR="009E53B5" w:rsidRPr="00612443">
        <w:rPr>
          <w:rFonts w:ascii="Palatino Linotype" w:hAnsi="Palatino Linotype"/>
          <w:sz w:val="22"/>
          <w:szCs w:val="22"/>
          <w:lang w:val="en-US"/>
        </w:rPr>
        <w:t xml:space="preserve">may </w:t>
      </w:r>
      <w:r w:rsidRPr="00612443">
        <w:rPr>
          <w:rFonts w:ascii="Palatino Linotype" w:hAnsi="Palatino Linotype"/>
          <w:sz w:val="22"/>
          <w:szCs w:val="22"/>
          <w:lang w:val="en-US"/>
        </w:rPr>
        <w:t xml:space="preserve">be not entirely clear whether monetary policy actions are focused on the inflation target or on any other </w:t>
      </w:r>
      <w:r w:rsidR="00A60AA3" w:rsidRPr="00612443">
        <w:rPr>
          <w:rFonts w:ascii="Palatino Linotype" w:hAnsi="Palatino Linotype"/>
          <w:sz w:val="22"/>
          <w:szCs w:val="22"/>
          <w:lang w:val="en-US"/>
        </w:rPr>
        <w:t xml:space="preserve">implicit </w:t>
      </w:r>
      <w:r w:rsidRPr="00612443">
        <w:rPr>
          <w:rFonts w:ascii="Palatino Linotype" w:hAnsi="Palatino Linotype"/>
          <w:sz w:val="22"/>
          <w:szCs w:val="22"/>
          <w:lang w:val="en-US"/>
        </w:rPr>
        <w:t>target related to the exchange rate.</w:t>
      </w:r>
      <w:r w:rsidR="00A60AA3" w:rsidRPr="00612443">
        <w:rPr>
          <w:rFonts w:ascii="Palatino Linotype" w:hAnsi="Palatino Linotype"/>
          <w:sz w:val="22"/>
          <w:szCs w:val="22"/>
          <w:lang w:val="en-US"/>
        </w:rPr>
        <w:t xml:space="preserve"> </w:t>
      </w:r>
    </w:p>
    <w:p w:rsidR="00A60AA3" w:rsidRPr="00612443" w:rsidRDefault="00A60AA3" w:rsidP="0058159B">
      <w:pPr>
        <w:spacing w:before="60"/>
        <w:ind w:firstLine="300"/>
        <w:rPr>
          <w:rFonts w:ascii="Palatino Linotype" w:hAnsi="Palatino Linotype"/>
          <w:sz w:val="22"/>
          <w:szCs w:val="22"/>
          <w:lang w:val="en-US"/>
        </w:rPr>
      </w:pPr>
    </w:p>
    <w:p w:rsidR="00851F29" w:rsidRPr="00612443" w:rsidRDefault="000D18E6" w:rsidP="00A60AA3">
      <w:pPr>
        <w:spacing w:before="60"/>
        <w:ind w:firstLine="300"/>
        <w:rPr>
          <w:rFonts w:ascii="Palatino Linotype" w:hAnsi="Palatino Linotype"/>
          <w:sz w:val="22"/>
          <w:szCs w:val="22"/>
          <w:lang w:val="en-US"/>
        </w:rPr>
      </w:pPr>
      <w:r w:rsidRPr="00612443">
        <w:rPr>
          <w:rFonts w:ascii="Palatino Linotype" w:hAnsi="Palatino Linotype"/>
          <w:sz w:val="22"/>
          <w:szCs w:val="22"/>
          <w:lang w:val="en-US"/>
        </w:rPr>
        <w:t xml:space="preserve">As in many small open economies with an inflation target, </w:t>
      </w:r>
      <w:r w:rsidR="009E53B5" w:rsidRPr="00612443">
        <w:rPr>
          <w:rFonts w:ascii="Palatino Linotype" w:hAnsi="Palatino Linotype"/>
          <w:sz w:val="22"/>
          <w:szCs w:val="22"/>
          <w:lang w:val="en-US"/>
        </w:rPr>
        <w:t xml:space="preserve">Chile’s </w:t>
      </w:r>
      <w:r w:rsidRPr="00612443">
        <w:rPr>
          <w:rFonts w:ascii="Palatino Linotype" w:hAnsi="Palatino Linotype"/>
          <w:sz w:val="22"/>
          <w:szCs w:val="22"/>
          <w:lang w:val="en-US"/>
        </w:rPr>
        <w:t xml:space="preserve">monetary authorities have decided to intervene the exchange rate market </w:t>
      </w:r>
      <w:r w:rsidR="00EB1234" w:rsidRPr="00612443">
        <w:rPr>
          <w:rFonts w:ascii="Palatino Linotype" w:hAnsi="Palatino Linotype"/>
          <w:sz w:val="22"/>
          <w:szCs w:val="22"/>
          <w:lang w:val="en-US"/>
        </w:rPr>
        <w:t xml:space="preserve">in several </w:t>
      </w:r>
      <w:r w:rsidRPr="00612443">
        <w:rPr>
          <w:rFonts w:ascii="Palatino Linotype" w:hAnsi="Palatino Linotype"/>
          <w:sz w:val="22"/>
          <w:szCs w:val="22"/>
          <w:lang w:val="en-US"/>
        </w:rPr>
        <w:t xml:space="preserve">occasions. Using data from the last two intervention periods in Chile, we have </w:t>
      </w:r>
      <w:r w:rsidR="009E53B5" w:rsidRPr="00612443">
        <w:rPr>
          <w:rFonts w:ascii="Palatino Linotype" w:hAnsi="Palatino Linotype"/>
          <w:sz w:val="22"/>
          <w:szCs w:val="22"/>
          <w:lang w:val="en-US"/>
        </w:rPr>
        <w:t xml:space="preserve">focused </w:t>
      </w:r>
      <w:r w:rsidRPr="00612443">
        <w:rPr>
          <w:rFonts w:ascii="Palatino Linotype" w:hAnsi="Palatino Linotype"/>
          <w:sz w:val="22"/>
          <w:szCs w:val="22"/>
          <w:lang w:val="en-US"/>
        </w:rPr>
        <w:t xml:space="preserve">our attention on the linkage between the amount of exchange rate interventions and </w:t>
      </w:r>
      <w:r w:rsidR="00D105D3">
        <w:rPr>
          <w:rFonts w:ascii="Palatino Linotype" w:hAnsi="Palatino Linotype"/>
          <w:sz w:val="22"/>
          <w:szCs w:val="22"/>
          <w:lang w:val="en-US"/>
        </w:rPr>
        <w:t xml:space="preserve">both exchange rate returns and </w:t>
      </w:r>
      <w:r w:rsidRPr="00612443">
        <w:rPr>
          <w:rFonts w:ascii="Palatino Linotype" w:hAnsi="Palatino Linotype"/>
          <w:sz w:val="22"/>
          <w:szCs w:val="22"/>
          <w:lang w:val="en-US"/>
        </w:rPr>
        <w:t xml:space="preserve">the distribution of inflation expectations in Chile. </w:t>
      </w:r>
      <w:r w:rsidR="00D105D3">
        <w:rPr>
          <w:rFonts w:ascii="Palatino Linotype" w:hAnsi="Palatino Linotype"/>
          <w:sz w:val="22"/>
          <w:szCs w:val="22"/>
          <w:lang w:val="en-US"/>
        </w:rPr>
        <w:t xml:space="preserve">We find that interventions have an impact on exchange rate returns and </w:t>
      </w:r>
      <w:r w:rsidRPr="00612443">
        <w:rPr>
          <w:rFonts w:ascii="Palatino Linotype" w:hAnsi="Palatino Linotype"/>
          <w:sz w:val="22"/>
          <w:szCs w:val="22"/>
          <w:lang w:val="en-US"/>
        </w:rPr>
        <w:t>that the amount of the intervention Granger-cause</w:t>
      </w:r>
      <w:r w:rsidR="009E53B5" w:rsidRPr="00612443">
        <w:rPr>
          <w:rFonts w:ascii="Palatino Linotype" w:hAnsi="Palatino Linotype"/>
          <w:sz w:val="22"/>
          <w:szCs w:val="22"/>
          <w:lang w:val="en-US"/>
        </w:rPr>
        <w:t>s</w:t>
      </w:r>
      <w:r w:rsidRPr="00612443">
        <w:rPr>
          <w:rFonts w:ascii="Palatino Linotype" w:hAnsi="Palatino Linotype"/>
          <w:sz w:val="22"/>
          <w:szCs w:val="22"/>
          <w:lang w:val="en-US"/>
        </w:rPr>
        <w:t xml:space="preserve"> several deciles of the distribution of </w:t>
      </w:r>
      <w:r w:rsidR="00D105D3">
        <w:rPr>
          <w:rFonts w:ascii="Palatino Linotype" w:hAnsi="Palatino Linotype"/>
          <w:sz w:val="22"/>
          <w:szCs w:val="22"/>
          <w:lang w:val="en-US"/>
        </w:rPr>
        <w:t>inflation expectations at long</w:t>
      </w:r>
      <w:r w:rsidRPr="00612443">
        <w:rPr>
          <w:rFonts w:ascii="Palatino Linotype" w:hAnsi="Palatino Linotype"/>
          <w:sz w:val="22"/>
          <w:szCs w:val="22"/>
          <w:lang w:val="en-US"/>
        </w:rPr>
        <w:t xml:space="preserve"> horizons. </w:t>
      </w:r>
    </w:p>
    <w:p w:rsidR="00EF0CDD" w:rsidRPr="00612443" w:rsidRDefault="00EF0CDD" w:rsidP="00A60AA3">
      <w:pPr>
        <w:spacing w:before="60"/>
        <w:ind w:firstLine="300"/>
        <w:rPr>
          <w:rFonts w:ascii="Palatino Linotype" w:hAnsi="Palatino Linotype"/>
          <w:sz w:val="22"/>
          <w:szCs w:val="22"/>
          <w:lang w:val="en-US"/>
        </w:rPr>
      </w:pPr>
    </w:p>
    <w:p w:rsidR="00EF0CDD" w:rsidRPr="00612443" w:rsidRDefault="000D18E6" w:rsidP="00A60AA3">
      <w:pPr>
        <w:spacing w:before="60"/>
        <w:ind w:firstLine="300"/>
        <w:rPr>
          <w:rFonts w:ascii="Palatino Linotype" w:hAnsi="Palatino Linotype"/>
          <w:sz w:val="22"/>
          <w:szCs w:val="22"/>
          <w:lang w:val="en-US"/>
        </w:rPr>
      </w:pPr>
      <w:r w:rsidRPr="00612443">
        <w:rPr>
          <w:rFonts w:ascii="Palatino Linotype" w:hAnsi="Palatino Linotype"/>
          <w:sz w:val="22"/>
          <w:szCs w:val="22"/>
          <w:lang w:val="en-US"/>
        </w:rPr>
        <w:t xml:space="preserve">Notwithstanding the above, our results suggest that the interventions in 2008 and 2011 had different implications </w:t>
      </w:r>
      <w:r w:rsidR="009E53B5" w:rsidRPr="00612443">
        <w:rPr>
          <w:rFonts w:ascii="Palatino Linotype" w:hAnsi="Palatino Linotype"/>
          <w:sz w:val="22"/>
          <w:szCs w:val="22"/>
          <w:lang w:val="en-US"/>
        </w:rPr>
        <w:t xml:space="preserve">for </w:t>
      </w:r>
      <w:r w:rsidRPr="00612443">
        <w:rPr>
          <w:rFonts w:ascii="Palatino Linotype" w:hAnsi="Palatino Linotype"/>
          <w:sz w:val="22"/>
          <w:szCs w:val="22"/>
          <w:lang w:val="en-US"/>
        </w:rPr>
        <w:t xml:space="preserve">the distribution of inflation expectations. Whereas the impact during the intervention program in 2008 </w:t>
      </w:r>
      <w:r w:rsidR="00851F29" w:rsidRPr="00612443">
        <w:rPr>
          <w:rFonts w:ascii="Palatino Linotype" w:hAnsi="Palatino Linotype"/>
          <w:sz w:val="22"/>
          <w:szCs w:val="22"/>
          <w:lang w:val="en-US"/>
        </w:rPr>
        <w:t>wa</w:t>
      </w:r>
      <w:r w:rsidRPr="00612443">
        <w:rPr>
          <w:rFonts w:ascii="Palatino Linotype" w:hAnsi="Palatino Linotype"/>
          <w:sz w:val="22"/>
          <w:szCs w:val="22"/>
          <w:lang w:val="en-US"/>
        </w:rPr>
        <w:t xml:space="preserve">s both economically and statistically significant, the impact during the 2011 program </w:t>
      </w:r>
      <w:r w:rsidR="00851F29" w:rsidRPr="00612443">
        <w:rPr>
          <w:rFonts w:ascii="Palatino Linotype" w:hAnsi="Palatino Linotype"/>
          <w:sz w:val="22"/>
          <w:szCs w:val="22"/>
          <w:lang w:val="en-US"/>
        </w:rPr>
        <w:t>wa</w:t>
      </w:r>
      <w:r w:rsidRPr="00612443">
        <w:rPr>
          <w:rFonts w:ascii="Palatino Linotype" w:hAnsi="Palatino Linotype"/>
          <w:sz w:val="22"/>
          <w:szCs w:val="22"/>
          <w:lang w:val="en-US"/>
        </w:rPr>
        <w:t>s almost negligible. This distinction is important as the macroeconomic conditions surrounding both interventions were very different. It is possible that the high levels of inflation preceding the 2008 intervention may have created an inappropriate environment for an intervention to take place without collateral damage.</w:t>
      </w:r>
      <w:r w:rsidR="00A60AA3" w:rsidRPr="00612443">
        <w:rPr>
          <w:rFonts w:ascii="Palatino Linotype" w:hAnsi="Palatino Linotype"/>
          <w:sz w:val="22"/>
          <w:szCs w:val="22"/>
          <w:lang w:val="en-US"/>
        </w:rPr>
        <w:t xml:space="preserve"> </w:t>
      </w:r>
      <w:r w:rsidR="00EF0CDD" w:rsidRPr="00612443">
        <w:rPr>
          <w:rFonts w:ascii="Palatino Linotype" w:hAnsi="Palatino Linotype"/>
          <w:sz w:val="22"/>
          <w:szCs w:val="22"/>
          <w:lang w:val="en-US"/>
        </w:rPr>
        <w:t>This is just a hypothesis. The precise reasons behind the different results associated to the two similar intervention programs are ultimately unknown, and are left as a subject for further</w:t>
      </w:r>
      <w:r w:rsidR="00AD6C0C" w:rsidRPr="00612443">
        <w:rPr>
          <w:rFonts w:ascii="Palatino Linotype" w:hAnsi="Palatino Linotype"/>
          <w:sz w:val="22"/>
          <w:szCs w:val="22"/>
          <w:lang w:val="en-US"/>
        </w:rPr>
        <w:t xml:space="preserve"> research.</w:t>
      </w:r>
    </w:p>
    <w:p w:rsidR="00EF0CDD" w:rsidRPr="00612443" w:rsidRDefault="00EF0CDD" w:rsidP="00A60AA3">
      <w:pPr>
        <w:spacing w:before="60"/>
        <w:ind w:firstLine="300"/>
        <w:rPr>
          <w:rFonts w:ascii="Palatino Linotype" w:hAnsi="Palatino Linotype"/>
          <w:sz w:val="22"/>
          <w:szCs w:val="22"/>
          <w:lang w:val="en-US"/>
        </w:rPr>
      </w:pPr>
    </w:p>
    <w:p w:rsidR="00D67271" w:rsidRPr="00612443" w:rsidRDefault="000D18E6">
      <w:pPr>
        <w:ind w:firstLine="300"/>
        <w:rPr>
          <w:rFonts w:ascii="Palatino Linotype" w:hAnsi="Palatino Linotype"/>
          <w:sz w:val="22"/>
          <w:szCs w:val="22"/>
          <w:lang w:val="en-US"/>
        </w:rPr>
      </w:pPr>
      <w:r w:rsidRPr="00612443">
        <w:rPr>
          <w:rFonts w:ascii="Palatino Linotype" w:hAnsi="Palatino Linotype"/>
          <w:sz w:val="22"/>
          <w:szCs w:val="22"/>
          <w:lang w:val="en-US"/>
        </w:rPr>
        <w:t>These results seem to show that the side effects of exchange rate interventions over the distribution of inflation expectations may naturally depend on the economic environment in which they are implemented.</w:t>
      </w:r>
      <w:r w:rsidR="00EF0CDD" w:rsidRPr="00612443">
        <w:rPr>
          <w:rFonts w:ascii="Palatino Linotype" w:hAnsi="Palatino Linotype"/>
          <w:sz w:val="22"/>
          <w:szCs w:val="22"/>
          <w:lang w:val="en-US"/>
        </w:rPr>
        <w:t xml:space="preserve"> </w:t>
      </w:r>
      <w:r w:rsidRPr="00612443">
        <w:rPr>
          <w:rFonts w:ascii="Palatino Linotype" w:hAnsi="Palatino Linotype"/>
          <w:sz w:val="22"/>
          <w:szCs w:val="22"/>
          <w:lang w:val="en-US"/>
        </w:rPr>
        <w:t xml:space="preserve">Well aware of the possible conflict between an inflationary target and forex interventions, </w:t>
      </w:r>
      <w:r w:rsidR="00315934" w:rsidRPr="00612443">
        <w:rPr>
          <w:rFonts w:ascii="Palatino Linotype" w:hAnsi="Palatino Linotype"/>
          <w:sz w:val="22"/>
          <w:szCs w:val="22"/>
          <w:lang w:val="en-US"/>
        </w:rPr>
        <w:t xml:space="preserve">Chile’s </w:t>
      </w:r>
      <w:r w:rsidRPr="00612443">
        <w:rPr>
          <w:rFonts w:ascii="Palatino Linotype" w:hAnsi="Palatino Linotype"/>
          <w:sz w:val="22"/>
          <w:szCs w:val="22"/>
          <w:lang w:val="en-US"/>
        </w:rPr>
        <w:t xml:space="preserve">monetary authorities have explicitly left room for occasional interventions in exceptional circumstances of excessive depreciation or appreciation of the local currency. According to our results the last intervention </w:t>
      </w:r>
      <w:r w:rsidR="00213233" w:rsidRPr="00612443">
        <w:rPr>
          <w:rFonts w:ascii="Palatino Linotype" w:hAnsi="Palatino Linotype"/>
          <w:sz w:val="22"/>
          <w:szCs w:val="22"/>
          <w:lang w:val="en-US"/>
        </w:rPr>
        <w:t>episode</w:t>
      </w:r>
      <w:r w:rsidRPr="00612443">
        <w:rPr>
          <w:rFonts w:ascii="Palatino Linotype" w:hAnsi="Palatino Linotype"/>
          <w:sz w:val="22"/>
          <w:szCs w:val="22"/>
          <w:lang w:val="en-US"/>
        </w:rPr>
        <w:t xml:space="preserve"> in Chile posed no serious threat to the inflation target. Nevertheless, they also suggest that </w:t>
      </w:r>
      <w:r w:rsidR="00A60AA3" w:rsidRPr="00612443">
        <w:rPr>
          <w:rFonts w:ascii="Palatino Linotype" w:hAnsi="Palatino Linotype"/>
          <w:sz w:val="22"/>
          <w:szCs w:val="22"/>
          <w:lang w:val="en-US"/>
        </w:rPr>
        <w:t xml:space="preserve">the intervention program carried out in the year 2008 </w:t>
      </w:r>
      <w:r w:rsidR="00EF0CDD" w:rsidRPr="00612443">
        <w:rPr>
          <w:rFonts w:ascii="Palatino Linotype" w:hAnsi="Palatino Linotype"/>
          <w:sz w:val="22"/>
          <w:szCs w:val="22"/>
          <w:lang w:val="en-US"/>
        </w:rPr>
        <w:t xml:space="preserve">may have </w:t>
      </w:r>
      <w:r w:rsidR="00213233" w:rsidRPr="00612443">
        <w:rPr>
          <w:rFonts w:ascii="Palatino Linotype" w:hAnsi="Palatino Linotype"/>
          <w:sz w:val="22"/>
          <w:szCs w:val="22"/>
          <w:lang w:val="en-US"/>
        </w:rPr>
        <w:t>shifted</w:t>
      </w:r>
      <w:r w:rsidR="00A60AA3" w:rsidRPr="00612443">
        <w:rPr>
          <w:rFonts w:ascii="Palatino Linotype" w:hAnsi="Palatino Linotype"/>
          <w:sz w:val="22"/>
          <w:szCs w:val="22"/>
          <w:lang w:val="en-US"/>
        </w:rPr>
        <w:t xml:space="preserve"> </w:t>
      </w:r>
      <w:r w:rsidR="00EF0CDD" w:rsidRPr="00612443">
        <w:rPr>
          <w:rFonts w:ascii="Palatino Linotype" w:hAnsi="Palatino Linotype"/>
          <w:sz w:val="22"/>
          <w:szCs w:val="22"/>
          <w:lang w:val="en-US"/>
        </w:rPr>
        <w:t xml:space="preserve">upward </w:t>
      </w:r>
      <w:r w:rsidRPr="00612443">
        <w:rPr>
          <w:rFonts w:ascii="Palatino Linotype" w:hAnsi="Palatino Linotype"/>
          <w:sz w:val="22"/>
          <w:szCs w:val="22"/>
          <w:lang w:val="en-US"/>
        </w:rPr>
        <w:t xml:space="preserve">the distribution of inflation expectations </w:t>
      </w:r>
      <w:r w:rsidR="00213233" w:rsidRPr="00612443">
        <w:rPr>
          <w:rFonts w:ascii="Palatino Linotype" w:hAnsi="Palatino Linotype"/>
          <w:sz w:val="22"/>
          <w:szCs w:val="22"/>
          <w:lang w:val="en-US"/>
        </w:rPr>
        <w:t>two years ahead.</w:t>
      </w:r>
    </w:p>
    <w:p w:rsidR="00F92B7C" w:rsidRPr="00612443" w:rsidRDefault="00F92B7C">
      <w:pPr>
        <w:ind w:firstLine="300"/>
        <w:rPr>
          <w:rFonts w:ascii="Palatino Linotype" w:hAnsi="Palatino Linotype"/>
          <w:sz w:val="22"/>
          <w:szCs w:val="22"/>
          <w:lang w:val="en-US"/>
        </w:rPr>
      </w:pPr>
    </w:p>
    <w:p w:rsidR="00E95F8B" w:rsidRPr="00612443" w:rsidRDefault="00E95F8B">
      <w:pPr>
        <w:pStyle w:val="Ttulo2"/>
        <w:widowControl/>
        <w:rPr>
          <w:rFonts w:ascii="Palatino Linotype" w:hAnsi="Palatino Linotype"/>
          <w:szCs w:val="22"/>
          <w:lang w:val="en-US"/>
        </w:rPr>
      </w:pPr>
    </w:p>
    <w:p w:rsidR="00D67271" w:rsidRPr="00612443" w:rsidRDefault="000D18E6">
      <w:pPr>
        <w:pStyle w:val="Ttulo2"/>
        <w:widowControl/>
        <w:rPr>
          <w:rFonts w:ascii="Palatino Linotype" w:hAnsi="Palatino Linotype"/>
          <w:szCs w:val="22"/>
          <w:lang w:val="en-US"/>
        </w:rPr>
      </w:pPr>
      <w:r w:rsidRPr="00612443">
        <w:rPr>
          <w:rFonts w:ascii="Palatino Linotype" w:hAnsi="Palatino Linotype"/>
          <w:szCs w:val="22"/>
          <w:lang w:val="en-US"/>
        </w:rPr>
        <w:t>References</w:t>
      </w:r>
    </w:p>
    <w:p w:rsidR="007E07EA" w:rsidRPr="00612443" w:rsidRDefault="007E07EA" w:rsidP="007E07EA">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t>Adler, G.</w:t>
      </w:r>
      <w:r w:rsidR="00213233" w:rsidRPr="00612443">
        <w:rPr>
          <w:rFonts w:ascii="Palatino Linotype" w:hAnsi="Palatino Linotype"/>
          <w:sz w:val="22"/>
          <w:szCs w:val="22"/>
          <w:lang w:val="en-US"/>
        </w:rPr>
        <w:t xml:space="preserve"> and C.</w:t>
      </w:r>
      <w:r w:rsidRPr="00612443">
        <w:rPr>
          <w:rFonts w:ascii="Palatino Linotype" w:hAnsi="Palatino Linotype"/>
          <w:sz w:val="22"/>
          <w:szCs w:val="22"/>
          <w:lang w:val="en-US"/>
        </w:rPr>
        <w:t xml:space="preserve"> Tovar (201</w:t>
      </w:r>
      <w:r w:rsidR="00FF2F51">
        <w:rPr>
          <w:rFonts w:ascii="Palatino Linotype" w:hAnsi="Palatino Linotype"/>
          <w:sz w:val="22"/>
          <w:szCs w:val="22"/>
          <w:lang w:val="en-US"/>
        </w:rPr>
        <w:t>4</w:t>
      </w:r>
      <w:r w:rsidRPr="00612443">
        <w:rPr>
          <w:rFonts w:ascii="Palatino Linotype" w:hAnsi="Palatino Linotype"/>
          <w:sz w:val="22"/>
          <w:szCs w:val="22"/>
          <w:lang w:val="en-US"/>
        </w:rPr>
        <w:t>)</w:t>
      </w:r>
      <w:r w:rsidR="00213233" w:rsidRPr="00612443">
        <w:rPr>
          <w:rFonts w:ascii="Palatino Linotype" w:hAnsi="Palatino Linotype"/>
          <w:sz w:val="22"/>
          <w:szCs w:val="22"/>
          <w:lang w:val="en-US"/>
        </w:rPr>
        <w:t>:</w:t>
      </w:r>
      <w:r w:rsidRPr="00612443">
        <w:rPr>
          <w:rFonts w:ascii="Palatino Linotype" w:hAnsi="Palatino Linotype"/>
          <w:sz w:val="22"/>
          <w:szCs w:val="22"/>
          <w:lang w:val="en-US"/>
        </w:rPr>
        <w:t xml:space="preserve"> “</w:t>
      </w:r>
      <w:r w:rsidR="00FF2F51">
        <w:rPr>
          <w:rFonts w:ascii="Palatino Linotype" w:hAnsi="Palatino Linotype"/>
          <w:sz w:val="22"/>
          <w:szCs w:val="22"/>
          <w:lang w:val="en-US"/>
        </w:rPr>
        <w:t>Intervenciones en el mercado cambiario y su efecto en el tipo de cambio</w:t>
      </w:r>
      <w:r w:rsidRPr="00612443">
        <w:rPr>
          <w:rFonts w:ascii="Palatino Linotype" w:hAnsi="Palatino Linotype"/>
          <w:sz w:val="22"/>
          <w:szCs w:val="22"/>
          <w:lang w:val="en-US"/>
        </w:rPr>
        <w:t xml:space="preserve">?” </w:t>
      </w:r>
      <w:r w:rsidR="00FF2F51">
        <w:rPr>
          <w:rFonts w:ascii="Palatino Linotype" w:hAnsi="Palatino Linotype"/>
          <w:sz w:val="22"/>
          <w:szCs w:val="22"/>
          <w:lang w:val="en-US"/>
        </w:rPr>
        <w:t>Monetaria, Centro de Estudios Monetarios Latinoamericanos, vol. 0(1), pages 1-54, enero-jun.</w:t>
      </w:r>
    </w:p>
    <w:p w:rsidR="00D67271" w:rsidRPr="00612443" w:rsidRDefault="00666C77" w:rsidP="00541B7E">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t>Ades A, Buscaglia M</w:t>
      </w:r>
      <w:r w:rsidR="00213233" w:rsidRPr="00612443">
        <w:rPr>
          <w:rFonts w:ascii="Palatino Linotype" w:hAnsi="Palatino Linotype"/>
          <w:sz w:val="22"/>
          <w:szCs w:val="22"/>
          <w:lang w:val="en-US"/>
        </w:rPr>
        <w:t>.</w:t>
      </w:r>
      <w:r w:rsidRPr="00612443">
        <w:rPr>
          <w:rFonts w:ascii="Palatino Linotype" w:hAnsi="Palatino Linotype"/>
          <w:sz w:val="22"/>
          <w:szCs w:val="22"/>
          <w:lang w:val="en-US"/>
        </w:rPr>
        <w:t xml:space="preserve"> and M</w:t>
      </w:r>
      <w:r w:rsidR="00213233" w:rsidRPr="00612443">
        <w:rPr>
          <w:rFonts w:ascii="Palatino Linotype" w:hAnsi="Palatino Linotype"/>
          <w:sz w:val="22"/>
          <w:szCs w:val="22"/>
          <w:lang w:val="en-US"/>
        </w:rPr>
        <w:t>.</w:t>
      </w:r>
      <w:r w:rsidR="000D18E6" w:rsidRPr="00612443">
        <w:rPr>
          <w:rFonts w:ascii="Palatino Linotype" w:hAnsi="Palatino Linotype"/>
          <w:sz w:val="22"/>
          <w:szCs w:val="22"/>
          <w:lang w:val="en-US"/>
        </w:rPr>
        <w:t xml:space="preserve"> Rumi (2002): “Inflation </w:t>
      </w:r>
      <w:r w:rsidR="00CF7470" w:rsidRPr="00612443">
        <w:rPr>
          <w:rFonts w:ascii="Palatino Linotype" w:hAnsi="Palatino Linotype"/>
          <w:sz w:val="22"/>
          <w:szCs w:val="22"/>
          <w:lang w:val="en-US"/>
        </w:rPr>
        <w:t>T</w:t>
      </w:r>
      <w:r w:rsidR="000D18E6" w:rsidRPr="00612443">
        <w:rPr>
          <w:rFonts w:ascii="Palatino Linotype" w:hAnsi="Palatino Linotype"/>
          <w:sz w:val="22"/>
          <w:szCs w:val="22"/>
          <w:lang w:val="en-US"/>
        </w:rPr>
        <w:t xml:space="preserve">argeting in </w:t>
      </w:r>
      <w:r w:rsidR="00CF7470" w:rsidRPr="00612443">
        <w:rPr>
          <w:rFonts w:ascii="Palatino Linotype" w:hAnsi="Palatino Linotype"/>
          <w:sz w:val="22"/>
          <w:szCs w:val="22"/>
          <w:lang w:val="en-US"/>
        </w:rPr>
        <w:t>E</w:t>
      </w:r>
      <w:r w:rsidR="000D18E6" w:rsidRPr="00612443">
        <w:rPr>
          <w:rFonts w:ascii="Palatino Linotype" w:hAnsi="Palatino Linotype"/>
          <w:sz w:val="22"/>
          <w:szCs w:val="22"/>
          <w:lang w:val="en-US"/>
        </w:rPr>
        <w:t xml:space="preserve">merging </w:t>
      </w:r>
      <w:r w:rsidR="00CF7470" w:rsidRPr="00612443">
        <w:rPr>
          <w:rFonts w:ascii="Palatino Linotype" w:hAnsi="Palatino Linotype"/>
          <w:sz w:val="22"/>
          <w:szCs w:val="22"/>
          <w:lang w:val="en-US"/>
        </w:rPr>
        <w:t>M</w:t>
      </w:r>
      <w:r w:rsidR="000D18E6" w:rsidRPr="00612443">
        <w:rPr>
          <w:rFonts w:ascii="Palatino Linotype" w:hAnsi="Palatino Linotype"/>
          <w:sz w:val="22"/>
          <w:szCs w:val="22"/>
          <w:lang w:val="en-US"/>
        </w:rPr>
        <w:t xml:space="preserve">arket </w:t>
      </w:r>
      <w:r w:rsidR="00CF7470" w:rsidRPr="00612443">
        <w:rPr>
          <w:rFonts w:ascii="Palatino Linotype" w:hAnsi="Palatino Linotype"/>
          <w:sz w:val="22"/>
          <w:szCs w:val="22"/>
          <w:lang w:val="en-US"/>
        </w:rPr>
        <w:t>C</w:t>
      </w:r>
      <w:r w:rsidR="000D18E6" w:rsidRPr="00612443">
        <w:rPr>
          <w:rFonts w:ascii="Palatino Linotype" w:hAnsi="Palatino Linotype"/>
          <w:sz w:val="22"/>
          <w:szCs w:val="22"/>
          <w:lang w:val="en-US"/>
        </w:rPr>
        <w:t>ountries. Too m</w:t>
      </w:r>
      <w:r w:rsidRPr="00612443">
        <w:rPr>
          <w:rFonts w:ascii="Palatino Linotype" w:hAnsi="Palatino Linotype"/>
          <w:sz w:val="22"/>
          <w:szCs w:val="22"/>
          <w:lang w:val="en-US"/>
        </w:rPr>
        <w:t xml:space="preserve">uch </w:t>
      </w:r>
      <w:r w:rsidR="00CF7470" w:rsidRPr="00612443">
        <w:rPr>
          <w:rFonts w:ascii="Palatino Linotype" w:hAnsi="Palatino Linotype"/>
          <w:sz w:val="22"/>
          <w:szCs w:val="22"/>
          <w:lang w:val="en-US"/>
        </w:rPr>
        <w:t>E</w:t>
      </w:r>
      <w:r w:rsidRPr="00612443">
        <w:rPr>
          <w:rFonts w:ascii="Palatino Linotype" w:hAnsi="Palatino Linotype"/>
          <w:sz w:val="22"/>
          <w:szCs w:val="22"/>
          <w:lang w:val="en-US"/>
        </w:rPr>
        <w:t xml:space="preserve">xchange </w:t>
      </w:r>
      <w:r w:rsidR="00CF7470" w:rsidRPr="00612443">
        <w:rPr>
          <w:rFonts w:ascii="Palatino Linotype" w:hAnsi="Palatino Linotype"/>
          <w:sz w:val="22"/>
          <w:szCs w:val="22"/>
          <w:lang w:val="en-US"/>
        </w:rPr>
        <w:t>R</w:t>
      </w:r>
      <w:r w:rsidRPr="00612443">
        <w:rPr>
          <w:rFonts w:ascii="Palatino Linotype" w:hAnsi="Palatino Linotype"/>
          <w:sz w:val="22"/>
          <w:szCs w:val="22"/>
          <w:lang w:val="en-US"/>
        </w:rPr>
        <w:t xml:space="preserve">ate </w:t>
      </w:r>
      <w:r w:rsidR="00CF7470" w:rsidRPr="00612443">
        <w:rPr>
          <w:rFonts w:ascii="Palatino Linotype" w:hAnsi="Palatino Linotype"/>
          <w:sz w:val="22"/>
          <w:szCs w:val="22"/>
          <w:lang w:val="en-US"/>
        </w:rPr>
        <w:t>I</w:t>
      </w:r>
      <w:r w:rsidRPr="00612443">
        <w:rPr>
          <w:rFonts w:ascii="Palatino Linotype" w:hAnsi="Palatino Linotype"/>
          <w:sz w:val="22"/>
          <w:szCs w:val="22"/>
          <w:lang w:val="en-US"/>
        </w:rPr>
        <w:t>ntervention?</w:t>
      </w:r>
      <w:r w:rsidR="000D18E6" w:rsidRPr="00612443">
        <w:rPr>
          <w:rFonts w:ascii="Palatino Linotype" w:hAnsi="Palatino Linotype"/>
          <w:sz w:val="22"/>
          <w:szCs w:val="22"/>
          <w:lang w:val="en-US"/>
        </w:rPr>
        <w:t xml:space="preserve"> A test</w:t>
      </w:r>
      <w:r w:rsidRPr="00612443">
        <w:rPr>
          <w:rFonts w:ascii="Palatino Linotype" w:hAnsi="Palatino Linotype"/>
          <w:sz w:val="22"/>
          <w:szCs w:val="22"/>
          <w:lang w:val="en-US"/>
        </w:rPr>
        <w:t>.</w:t>
      </w:r>
      <w:r w:rsidR="000D18E6" w:rsidRPr="00612443">
        <w:rPr>
          <w:rFonts w:ascii="Palatino Linotype" w:hAnsi="Palatino Linotype"/>
          <w:sz w:val="22"/>
          <w:szCs w:val="22"/>
          <w:lang w:val="en-US"/>
        </w:rPr>
        <w:t>”</w:t>
      </w:r>
      <w:r w:rsidR="00731285" w:rsidRPr="00612443">
        <w:rPr>
          <w:rFonts w:ascii="Palatino Linotype" w:hAnsi="Palatino Linotype"/>
          <w:sz w:val="22"/>
          <w:szCs w:val="22"/>
          <w:lang w:val="en-US"/>
        </w:rPr>
        <w:t xml:space="preserve"> Unpublished manuscript.</w:t>
      </w:r>
    </w:p>
    <w:p w:rsidR="00895144" w:rsidRPr="00612443" w:rsidRDefault="00895144" w:rsidP="00541B7E">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t>Aizenman, J. (2011): “</w:t>
      </w:r>
      <w:hyperlink r:id="rId126" w:history="1">
        <w:r w:rsidRPr="00612443">
          <w:rPr>
            <w:rFonts w:ascii="Palatino Linotype" w:hAnsi="Palatino Linotype"/>
            <w:sz w:val="22"/>
            <w:szCs w:val="22"/>
            <w:lang w:val="en-US"/>
          </w:rPr>
          <w:t>The Impossible Trinity - from the Policy Trilemma to the Policy Quadrilemma</w:t>
        </w:r>
      </w:hyperlink>
      <w:r w:rsidRPr="00612443">
        <w:rPr>
          <w:rFonts w:ascii="Palatino Linotype" w:hAnsi="Palatino Linotype"/>
          <w:sz w:val="22"/>
          <w:szCs w:val="22"/>
          <w:lang w:val="en-US"/>
        </w:rPr>
        <w:t xml:space="preserve">”, </w:t>
      </w:r>
      <w:hyperlink r:id="rId127" w:history="1">
        <w:r w:rsidRPr="00612443">
          <w:rPr>
            <w:rFonts w:ascii="Palatino Linotype" w:hAnsi="Palatino Linotype"/>
            <w:sz w:val="22"/>
            <w:szCs w:val="22"/>
            <w:lang w:val="en-US"/>
          </w:rPr>
          <w:t>Santa Cruz Department of Economics Working Paper Series</w:t>
        </w:r>
      </w:hyperlink>
      <w:r w:rsidRPr="00612443">
        <w:rPr>
          <w:rFonts w:ascii="Palatino Linotype" w:hAnsi="Palatino Linotype"/>
          <w:sz w:val="22"/>
          <w:szCs w:val="22"/>
          <w:lang w:val="en-US"/>
        </w:rPr>
        <w:t xml:space="preserve"> qt8cq7g4c9, Department of Economics, UC Santa Cruz.</w:t>
      </w:r>
    </w:p>
    <w:p w:rsidR="00D67271" w:rsidRPr="00612443" w:rsidRDefault="000D18E6" w:rsidP="00541B7E">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t xml:space="preserve">Berganza C and Broto C (2012): “Flexible </w:t>
      </w:r>
      <w:r w:rsidR="00CF7470" w:rsidRPr="00612443">
        <w:rPr>
          <w:rFonts w:ascii="Palatino Linotype" w:hAnsi="Palatino Linotype"/>
          <w:sz w:val="22"/>
          <w:szCs w:val="22"/>
          <w:lang w:val="en-US"/>
        </w:rPr>
        <w:t>I</w:t>
      </w:r>
      <w:r w:rsidRPr="00612443">
        <w:rPr>
          <w:rFonts w:ascii="Palatino Linotype" w:hAnsi="Palatino Linotype"/>
          <w:sz w:val="22"/>
          <w:szCs w:val="22"/>
          <w:lang w:val="en-US"/>
        </w:rPr>
        <w:t xml:space="preserve">nflation </w:t>
      </w:r>
      <w:r w:rsidR="00CF7470" w:rsidRPr="00612443">
        <w:rPr>
          <w:rFonts w:ascii="Palatino Linotype" w:hAnsi="Palatino Linotype"/>
          <w:sz w:val="22"/>
          <w:szCs w:val="22"/>
          <w:lang w:val="en-US"/>
        </w:rPr>
        <w:t>T</w:t>
      </w:r>
      <w:r w:rsidRPr="00612443">
        <w:rPr>
          <w:rFonts w:ascii="Palatino Linotype" w:hAnsi="Palatino Linotype"/>
          <w:sz w:val="22"/>
          <w:szCs w:val="22"/>
          <w:lang w:val="en-US"/>
        </w:rPr>
        <w:t xml:space="preserve">argets, </w:t>
      </w:r>
      <w:r w:rsidR="00CF7470" w:rsidRPr="00612443">
        <w:rPr>
          <w:rFonts w:ascii="Palatino Linotype" w:hAnsi="Palatino Linotype"/>
          <w:sz w:val="22"/>
          <w:szCs w:val="22"/>
          <w:lang w:val="en-US"/>
        </w:rPr>
        <w:t>F</w:t>
      </w:r>
      <w:r w:rsidRPr="00612443">
        <w:rPr>
          <w:rFonts w:ascii="Palatino Linotype" w:hAnsi="Palatino Linotype"/>
          <w:sz w:val="22"/>
          <w:szCs w:val="22"/>
          <w:lang w:val="en-US"/>
        </w:rPr>
        <w:t xml:space="preserve">orex </w:t>
      </w:r>
      <w:r w:rsidR="00CF7470" w:rsidRPr="00612443">
        <w:rPr>
          <w:rFonts w:ascii="Palatino Linotype" w:hAnsi="Palatino Linotype"/>
          <w:sz w:val="22"/>
          <w:szCs w:val="22"/>
          <w:lang w:val="en-US"/>
        </w:rPr>
        <w:t>I</w:t>
      </w:r>
      <w:r w:rsidRPr="00612443">
        <w:rPr>
          <w:rFonts w:ascii="Palatino Linotype" w:hAnsi="Palatino Linotype"/>
          <w:sz w:val="22"/>
          <w:szCs w:val="22"/>
          <w:lang w:val="en-US"/>
        </w:rPr>
        <w:t xml:space="preserve">nterventions and </w:t>
      </w:r>
      <w:r w:rsidR="00CF7470" w:rsidRPr="00612443">
        <w:rPr>
          <w:rFonts w:ascii="Palatino Linotype" w:hAnsi="Palatino Linotype"/>
          <w:sz w:val="22"/>
          <w:szCs w:val="22"/>
          <w:lang w:val="en-US"/>
        </w:rPr>
        <w:t>E</w:t>
      </w:r>
      <w:r w:rsidRPr="00612443">
        <w:rPr>
          <w:rFonts w:ascii="Palatino Linotype" w:hAnsi="Palatino Linotype"/>
          <w:sz w:val="22"/>
          <w:szCs w:val="22"/>
          <w:lang w:val="en-US"/>
        </w:rPr>
        <w:t xml:space="preserve">xchange </w:t>
      </w:r>
      <w:r w:rsidR="00CF7470" w:rsidRPr="00612443">
        <w:rPr>
          <w:rFonts w:ascii="Palatino Linotype" w:hAnsi="Palatino Linotype"/>
          <w:sz w:val="22"/>
          <w:szCs w:val="22"/>
          <w:lang w:val="en-US"/>
        </w:rPr>
        <w:t>R</w:t>
      </w:r>
      <w:r w:rsidRPr="00612443">
        <w:rPr>
          <w:rFonts w:ascii="Palatino Linotype" w:hAnsi="Palatino Linotype"/>
          <w:sz w:val="22"/>
          <w:szCs w:val="22"/>
          <w:lang w:val="en-US"/>
        </w:rPr>
        <w:t xml:space="preserve">ate </w:t>
      </w:r>
      <w:r w:rsidR="00CF7470" w:rsidRPr="00612443">
        <w:rPr>
          <w:rFonts w:ascii="Palatino Linotype" w:hAnsi="Palatino Linotype"/>
          <w:sz w:val="22"/>
          <w:szCs w:val="22"/>
          <w:lang w:val="en-US"/>
        </w:rPr>
        <w:t>V</w:t>
      </w:r>
      <w:r w:rsidRPr="00612443">
        <w:rPr>
          <w:rFonts w:ascii="Palatino Linotype" w:hAnsi="Palatino Linotype"/>
          <w:sz w:val="22"/>
          <w:szCs w:val="22"/>
          <w:lang w:val="en-US"/>
        </w:rPr>
        <w:t xml:space="preserve">olatility in </w:t>
      </w:r>
      <w:r w:rsidR="00CF7470" w:rsidRPr="00612443">
        <w:rPr>
          <w:rFonts w:ascii="Palatino Linotype" w:hAnsi="Palatino Linotype"/>
          <w:sz w:val="22"/>
          <w:szCs w:val="22"/>
          <w:lang w:val="en-US"/>
        </w:rPr>
        <w:t>E</w:t>
      </w:r>
      <w:r w:rsidRPr="00612443">
        <w:rPr>
          <w:rFonts w:ascii="Palatino Linotype" w:hAnsi="Palatino Linotype"/>
          <w:sz w:val="22"/>
          <w:szCs w:val="22"/>
          <w:lang w:val="en-US"/>
        </w:rPr>
        <w:t xml:space="preserve">merging </w:t>
      </w:r>
      <w:r w:rsidR="00CF7470" w:rsidRPr="00612443">
        <w:rPr>
          <w:rFonts w:ascii="Palatino Linotype" w:hAnsi="Palatino Linotype"/>
          <w:sz w:val="22"/>
          <w:szCs w:val="22"/>
          <w:lang w:val="en-US"/>
        </w:rPr>
        <w:t>C</w:t>
      </w:r>
      <w:r w:rsidRPr="00612443">
        <w:rPr>
          <w:rFonts w:ascii="Palatino Linotype" w:hAnsi="Palatino Linotype"/>
          <w:sz w:val="22"/>
          <w:szCs w:val="22"/>
          <w:lang w:val="en-US"/>
        </w:rPr>
        <w:t>ountries.”</w:t>
      </w:r>
      <w:r w:rsidR="00CF7470" w:rsidRPr="00612443">
        <w:rPr>
          <w:rFonts w:ascii="Palatino Linotype" w:hAnsi="Palatino Linotype"/>
          <w:sz w:val="22"/>
          <w:szCs w:val="22"/>
          <w:lang w:val="en-US"/>
        </w:rPr>
        <w:t xml:space="preserve"> </w:t>
      </w:r>
      <w:r w:rsidRPr="00612443">
        <w:rPr>
          <w:rFonts w:ascii="Palatino Linotype" w:hAnsi="Palatino Linotype"/>
          <w:i/>
          <w:sz w:val="22"/>
          <w:szCs w:val="22"/>
          <w:lang w:val="en-US"/>
        </w:rPr>
        <w:t>Journal of International Money and Finance</w:t>
      </w:r>
      <w:r w:rsidRPr="00612443">
        <w:rPr>
          <w:rFonts w:ascii="Palatino Linotype" w:hAnsi="Palatino Linotype"/>
          <w:sz w:val="22"/>
          <w:szCs w:val="22"/>
          <w:lang w:val="en-US"/>
        </w:rPr>
        <w:t xml:space="preserve"> </w:t>
      </w:r>
      <w:r w:rsidRPr="00612443">
        <w:rPr>
          <w:rFonts w:ascii="Palatino Linotype" w:hAnsi="Palatino Linotype"/>
          <w:b/>
          <w:bCs/>
          <w:sz w:val="22"/>
          <w:szCs w:val="22"/>
          <w:lang w:val="en-US"/>
        </w:rPr>
        <w:t>31</w:t>
      </w:r>
      <w:r w:rsidRPr="00612443">
        <w:rPr>
          <w:rFonts w:ascii="Palatino Linotype" w:hAnsi="Palatino Linotype"/>
          <w:sz w:val="22"/>
          <w:szCs w:val="22"/>
          <w:lang w:val="en-US"/>
        </w:rPr>
        <w:t>(2):</w:t>
      </w:r>
      <w:r w:rsidR="00666C77" w:rsidRPr="00612443">
        <w:rPr>
          <w:rFonts w:ascii="Palatino Linotype" w:hAnsi="Palatino Linotype"/>
          <w:sz w:val="22"/>
          <w:szCs w:val="22"/>
          <w:lang w:val="en-US"/>
        </w:rPr>
        <w:t xml:space="preserve"> </w:t>
      </w:r>
      <w:r w:rsidRPr="00612443">
        <w:rPr>
          <w:rFonts w:ascii="Palatino Linotype" w:hAnsi="Palatino Linotype"/>
          <w:sz w:val="22"/>
          <w:szCs w:val="22"/>
          <w:lang w:val="en-US"/>
        </w:rPr>
        <w:t>428</w:t>
      </w:r>
      <w:r w:rsidR="00666C77" w:rsidRPr="00612443">
        <w:rPr>
          <w:rFonts w:ascii="Palatino Linotype" w:hAnsi="Palatino Linotype"/>
          <w:sz w:val="22"/>
          <w:szCs w:val="22"/>
          <w:lang w:val="en-US"/>
        </w:rPr>
        <w:t>-</w:t>
      </w:r>
      <w:r w:rsidRPr="00612443">
        <w:rPr>
          <w:rFonts w:ascii="Palatino Linotype" w:hAnsi="Palatino Linotype"/>
          <w:sz w:val="22"/>
          <w:szCs w:val="22"/>
          <w:lang w:val="en-US"/>
        </w:rPr>
        <w:t>444.</w:t>
      </w:r>
    </w:p>
    <w:p w:rsidR="00387C7B" w:rsidRPr="00612443" w:rsidRDefault="00387C7B" w:rsidP="00541B7E">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t>Bordo M, O. Humpage and A. Schwartz (2012): “Epilogue: Foreign Exchange Market Operations in the Twenty-First Century”. NBER Working Paper N°17984.</w:t>
      </w:r>
    </w:p>
    <w:p w:rsidR="003240AC" w:rsidRPr="00612443" w:rsidRDefault="003240AC" w:rsidP="00541B7E">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t xml:space="preserve">Broto C. (2013): “The effectiveness of forex interventions in four Latin American countries” </w:t>
      </w:r>
      <w:r w:rsidRPr="00612443">
        <w:rPr>
          <w:rFonts w:ascii="Palatino Linotype" w:hAnsi="Palatino Linotype"/>
          <w:i/>
          <w:sz w:val="22"/>
          <w:szCs w:val="22"/>
          <w:lang w:val="en-US"/>
        </w:rPr>
        <w:t>Emerging Markets Review</w:t>
      </w:r>
      <w:r w:rsidRPr="00612443">
        <w:rPr>
          <w:rFonts w:ascii="Palatino Linotype" w:hAnsi="Palatino Linotype"/>
          <w:sz w:val="22"/>
          <w:szCs w:val="22"/>
          <w:lang w:val="en-US"/>
        </w:rPr>
        <w:t>, forthcoming.</w:t>
      </w:r>
    </w:p>
    <w:p w:rsidR="00B67AF3" w:rsidRPr="00612443" w:rsidRDefault="00E73931" w:rsidP="00541B7E">
      <w:pPr>
        <w:pStyle w:val="Lista"/>
        <w:numPr>
          <w:ilvl w:val="0"/>
          <w:numId w:val="6"/>
        </w:numPr>
        <w:spacing w:before="50"/>
        <w:jc w:val="both"/>
        <w:rPr>
          <w:rFonts w:ascii="Palatino Linotype" w:hAnsi="Palatino Linotype"/>
          <w:sz w:val="22"/>
          <w:szCs w:val="22"/>
          <w:lang w:val="es-ES"/>
        </w:rPr>
      </w:pPr>
      <w:r w:rsidRPr="00612443">
        <w:rPr>
          <w:rFonts w:ascii="Palatino Linotype" w:hAnsi="Palatino Linotype"/>
          <w:sz w:val="22"/>
          <w:szCs w:val="22"/>
          <w:lang w:val="es-ES"/>
        </w:rPr>
        <w:t>Contreras, G; A. Pistelli and C. Sáez (2013): “Efectos de Intervenciones Cambiarias Recientes en Economías Emergentes”</w:t>
      </w:r>
      <w:r w:rsidR="00D174C9" w:rsidRPr="00612443">
        <w:rPr>
          <w:rFonts w:ascii="Palatino Linotype" w:hAnsi="Palatino Linotype"/>
          <w:sz w:val="22"/>
          <w:szCs w:val="22"/>
          <w:lang w:val="es-ES"/>
        </w:rPr>
        <w:t>,</w:t>
      </w:r>
      <w:r w:rsidRPr="00612443">
        <w:rPr>
          <w:rFonts w:ascii="Palatino Linotype" w:hAnsi="Palatino Linotype"/>
          <w:sz w:val="22"/>
          <w:szCs w:val="22"/>
          <w:lang w:val="es-ES"/>
        </w:rPr>
        <w:t xml:space="preserve"> </w:t>
      </w:r>
      <w:r w:rsidRPr="00612443">
        <w:rPr>
          <w:rFonts w:ascii="Palatino Linotype" w:hAnsi="Palatino Linotype"/>
          <w:i/>
          <w:sz w:val="22"/>
          <w:szCs w:val="22"/>
          <w:lang w:val="es-ES"/>
        </w:rPr>
        <w:t>Journal of the Chilean Economy</w:t>
      </w:r>
      <w:r w:rsidRPr="00612443">
        <w:rPr>
          <w:rFonts w:ascii="Palatino Linotype" w:hAnsi="Palatino Linotype"/>
          <w:sz w:val="22"/>
          <w:szCs w:val="22"/>
          <w:lang w:val="es-ES"/>
        </w:rPr>
        <w:t xml:space="preserve"> </w:t>
      </w:r>
      <w:r w:rsidRPr="00612443">
        <w:rPr>
          <w:rFonts w:ascii="Palatino Linotype" w:hAnsi="Palatino Linotype"/>
          <w:b/>
          <w:sz w:val="22"/>
          <w:szCs w:val="22"/>
          <w:lang w:val="es-ES"/>
        </w:rPr>
        <w:t>16</w:t>
      </w:r>
      <w:r w:rsidRPr="00612443">
        <w:rPr>
          <w:rFonts w:ascii="Palatino Linotype" w:hAnsi="Palatino Linotype"/>
          <w:sz w:val="22"/>
          <w:szCs w:val="22"/>
          <w:lang w:val="es-ES"/>
        </w:rPr>
        <w:t>(1): 122-137.</w:t>
      </w:r>
    </w:p>
    <w:p w:rsidR="00D67271" w:rsidRPr="00612443" w:rsidRDefault="00666C77" w:rsidP="00541B7E">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t>De Gregorio</w:t>
      </w:r>
      <w:r w:rsidR="000D18E6" w:rsidRPr="00612443">
        <w:rPr>
          <w:rFonts w:ascii="Palatino Linotype" w:hAnsi="Palatino Linotype"/>
          <w:sz w:val="22"/>
          <w:szCs w:val="22"/>
          <w:lang w:val="en-US"/>
        </w:rPr>
        <w:t xml:space="preserve"> J and A Tokman (2004): “Flexible </w:t>
      </w:r>
      <w:r w:rsidR="00FC063B" w:rsidRPr="00612443">
        <w:rPr>
          <w:rFonts w:ascii="Palatino Linotype" w:hAnsi="Palatino Linotype"/>
          <w:sz w:val="22"/>
          <w:szCs w:val="22"/>
          <w:lang w:val="en-US"/>
        </w:rPr>
        <w:t>E</w:t>
      </w:r>
      <w:r w:rsidR="000D18E6" w:rsidRPr="00612443">
        <w:rPr>
          <w:rFonts w:ascii="Palatino Linotype" w:hAnsi="Palatino Linotype"/>
          <w:sz w:val="22"/>
          <w:szCs w:val="22"/>
          <w:lang w:val="en-US"/>
        </w:rPr>
        <w:t xml:space="preserve">xchange </w:t>
      </w:r>
      <w:r w:rsidR="00FC063B" w:rsidRPr="00612443">
        <w:rPr>
          <w:rFonts w:ascii="Palatino Linotype" w:hAnsi="Palatino Linotype"/>
          <w:sz w:val="22"/>
          <w:szCs w:val="22"/>
          <w:lang w:val="en-US"/>
        </w:rPr>
        <w:t>R</w:t>
      </w:r>
      <w:r w:rsidR="000D18E6" w:rsidRPr="00612443">
        <w:rPr>
          <w:rFonts w:ascii="Palatino Linotype" w:hAnsi="Palatino Linotype"/>
          <w:sz w:val="22"/>
          <w:szCs w:val="22"/>
          <w:lang w:val="en-US"/>
        </w:rPr>
        <w:t xml:space="preserve">ate </w:t>
      </w:r>
      <w:r w:rsidR="00FC063B" w:rsidRPr="00612443">
        <w:rPr>
          <w:rFonts w:ascii="Palatino Linotype" w:hAnsi="Palatino Linotype"/>
          <w:sz w:val="22"/>
          <w:szCs w:val="22"/>
          <w:lang w:val="en-US"/>
        </w:rPr>
        <w:t>R</w:t>
      </w:r>
      <w:r w:rsidR="000D18E6" w:rsidRPr="00612443">
        <w:rPr>
          <w:rFonts w:ascii="Palatino Linotype" w:hAnsi="Palatino Linotype"/>
          <w:sz w:val="22"/>
          <w:szCs w:val="22"/>
          <w:lang w:val="en-US"/>
        </w:rPr>
        <w:t xml:space="preserve">egime and </w:t>
      </w:r>
      <w:r w:rsidR="00FC063B" w:rsidRPr="00612443">
        <w:rPr>
          <w:rFonts w:ascii="Palatino Linotype" w:hAnsi="Palatino Linotype"/>
          <w:sz w:val="22"/>
          <w:szCs w:val="22"/>
          <w:lang w:val="en-US"/>
        </w:rPr>
        <w:t>F</w:t>
      </w:r>
      <w:r w:rsidR="000D18E6" w:rsidRPr="00612443">
        <w:rPr>
          <w:rFonts w:ascii="Palatino Linotype" w:hAnsi="Palatino Linotype"/>
          <w:sz w:val="22"/>
          <w:szCs w:val="22"/>
          <w:lang w:val="en-US"/>
        </w:rPr>
        <w:t xml:space="preserve">orex </w:t>
      </w:r>
      <w:r w:rsidR="00FC063B" w:rsidRPr="00612443">
        <w:rPr>
          <w:rFonts w:ascii="Palatino Linotype" w:hAnsi="Palatino Linotype"/>
          <w:sz w:val="22"/>
          <w:szCs w:val="22"/>
          <w:lang w:val="en-US"/>
        </w:rPr>
        <w:t>I</w:t>
      </w:r>
      <w:r w:rsidR="000D18E6" w:rsidRPr="00612443">
        <w:rPr>
          <w:rFonts w:ascii="Palatino Linotype" w:hAnsi="Palatino Linotype"/>
          <w:sz w:val="22"/>
          <w:szCs w:val="22"/>
          <w:lang w:val="en-US"/>
        </w:rPr>
        <w:t>ntervention</w:t>
      </w:r>
      <w:r w:rsidRPr="00612443">
        <w:rPr>
          <w:rFonts w:ascii="Palatino Linotype" w:hAnsi="Palatino Linotype"/>
          <w:sz w:val="22"/>
          <w:szCs w:val="22"/>
          <w:lang w:val="en-US"/>
        </w:rPr>
        <w:t>.</w:t>
      </w:r>
      <w:r w:rsidR="000D18E6" w:rsidRPr="00612443">
        <w:rPr>
          <w:rFonts w:ascii="Palatino Linotype" w:hAnsi="Palatino Linotype"/>
          <w:sz w:val="22"/>
          <w:szCs w:val="22"/>
          <w:lang w:val="en-US"/>
        </w:rPr>
        <w:t>” BIS Papers No 24</w:t>
      </w:r>
      <w:r w:rsidR="00731285" w:rsidRPr="00612443">
        <w:rPr>
          <w:rFonts w:ascii="Palatino Linotype" w:hAnsi="Palatino Linotype"/>
          <w:sz w:val="22"/>
          <w:szCs w:val="22"/>
          <w:lang w:val="en-US"/>
        </w:rPr>
        <w:t>: 127-138.</w:t>
      </w:r>
    </w:p>
    <w:p w:rsidR="00387C7B" w:rsidRPr="00612443" w:rsidRDefault="00B9068F" w:rsidP="00541B7E">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t xml:space="preserve"> </w:t>
      </w:r>
      <w:r w:rsidR="00387C7B" w:rsidRPr="00612443">
        <w:rPr>
          <w:rFonts w:ascii="Palatino Linotype" w:hAnsi="Palatino Linotype"/>
          <w:sz w:val="22"/>
          <w:szCs w:val="22"/>
          <w:lang w:val="en-US"/>
        </w:rPr>
        <w:t xml:space="preserve">Dominguez </w:t>
      </w:r>
      <w:r w:rsidR="00924125" w:rsidRPr="00612443">
        <w:rPr>
          <w:rFonts w:ascii="Palatino Linotype" w:hAnsi="Palatino Linotype"/>
          <w:sz w:val="22"/>
          <w:szCs w:val="22"/>
          <w:lang w:val="en-US"/>
        </w:rPr>
        <w:t>K. (2006): “When do central bank interventions influence intra-daily and longer-term exchange rate movements?</w:t>
      </w:r>
      <w:r w:rsidR="00924125" w:rsidRPr="00612443">
        <w:rPr>
          <w:rFonts w:ascii="Palatino Linotype" w:hAnsi="Palatino Linotype"/>
          <w:i/>
          <w:sz w:val="22"/>
          <w:szCs w:val="22"/>
          <w:lang w:val="en-US"/>
        </w:rPr>
        <w:t xml:space="preserve"> </w:t>
      </w:r>
      <w:r w:rsidR="00387C7B" w:rsidRPr="00612443">
        <w:rPr>
          <w:rFonts w:ascii="Palatino Linotype" w:hAnsi="Palatino Linotype"/>
          <w:i/>
          <w:sz w:val="22"/>
          <w:szCs w:val="22"/>
          <w:lang w:val="en-US"/>
        </w:rPr>
        <w:t>Journal of International Money and Financ</w:t>
      </w:r>
      <w:r w:rsidR="00E73931" w:rsidRPr="00612443">
        <w:rPr>
          <w:rFonts w:ascii="Palatino Linotype" w:hAnsi="Palatino Linotype" w:cs="AdvPSA88A"/>
          <w:i/>
          <w:noProof w:val="0"/>
          <w:sz w:val="22"/>
          <w:szCs w:val="22"/>
          <w:lang w:val="en-US"/>
        </w:rPr>
        <w:t>e</w:t>
      </w:r>
      <w:r w:rsidR="00387C7B" w:rsidRPr="00612443">
        <w:rPr>
          <w:rFonts w:ascii="Palatino Linotype" w:hAnsi="Palatino Linotype" w:cs="AdvPSA88A"/>
          <w:noProof w:val="0"/>
          <w:sz w:val="16"/>
          <w:szCs w:val="16"/>
          <w:lang w:val="en-US"/>
        </w:rPr>
        <w:t xml:space="preserve"> </w:t>
      </w:r>
      <w:r w:rsidR="00387C7B" w:rsidRPr="00612443">
        <w:rPr>
          <w:rFonts w:ascii="Palatino Linotype" w:hAnsi="Palatino Linotype" w:cs="AdvPSA88A"/>
          <w:b/>
          <w:noProof w:val="0"/>
          <w:sz w:val="22"/>
          <w:szCs w:val="22"/>
          <w:lang w:val="en-US"/>
        </w:rPr>
        <w:t xml:space="preserve"> </w:t>
      </w:r>
      <w:r w:rsidR="00387C7B" w:rsidRPr="00612443">
        <w:rPr>
          <w:rFonts w:ascii="Palatino Linotype" w:hAnsi="Palatino Linotype"/>
          <w:b/>
          <w:sz w:val="22"/>
          <w:szCs w:val="22"/>
          <w:lang w:val="en-US"/>
        </w:rPr>
        <w:t>25</w:t>
      </w:r>
      <w:r w:rsidR="00924125" w:rsidRPr="00612443">
        <w:rPr>
          <w:rFonts w:ascii="Palatino Linotype" w:hAnsi="Palatino Linotype"/>
          <w:b/>
          <w:sz w:val="22"/>
          <w:szCs w:val="22"/>
          <w:lang w:val="en-US"/>
        </w:rPr>
        <w:t>:</w:t>
      </w:r>
      <w:r w:rsidR="00387C7B" w:rsidRPr="00612443">
        <w:rPr>
          <w:rFonts w:ascii="Palatino Linotype" w:hAnsi="Palatino Linotype"/>
          <w:b/>
          <w:sz w:val="22"/>
          <w:szCs w:val="22"/>
          <w:lang w:val="en-US"/>
        </w:rPr>
        <w:t xml:space="preserve"> </w:t>
      </w:r>
      <w:r w:rsidR="00387C7B" w:rsidRPr="00612443">
        <w:rPr>
          <w:rFonts w:ascii="Palatino Linotype" w:hAnsi="Palatino Linotype"/>
          <w:sz w:val="22"/>
          <w:szCs w:val="22"/>
          <w:lang w:val="en-US"/>
        </w:rPr>
        <w:t>1051</w:t>
      </w:r>
      <w:r w:rsidR="00924125" w:rsidRPr="00612443">
        <w:rPr>
          <w:rFonts w:ascii="Palatino Linotype" w:hAnsi="Palatino Linotype"/>
          <w:sz w:val="22"/>
          <w:szCs w:val="22"/>
          <w:lang w:val="en-US"/>
        </w:rPr>
        <w:t>-</w:t>
      </w:r>
      <w:r w:rsidR="00387C7B" w:rsidRPr="00612443">
        <w:rPr>
          <w:rFonts w:ascii="Palatino Linotype" w:hAnsi="Palatino Linotype"/>
          <w:sz w:val="22"/>
          <w:szCs w:val="22"/>
          <w:lang w:val="en-US"/>
        </w:rPr>
        <w:t>1071</w:t>
      </w:r>
      <w:r w:rsidR="00924125" w:rsidRPr="00612443">
        <w:rPr>
          <w:rFonts w:ascii="Palatino Linotype" w:hAnsi="Palatino Linotype"/>
          <w:sz w:val="22"/>
          <w:szCs w:val="22"/>
          <w:lang w:val="en-US"/>
        </w:rPr>
        <w:t>.</w:t>
      </w:r>
    </w:p>
    <w:p w:rsidR="00B04210" w:rsidRPr="00612443" w:rsidRDefault="00B04210" w:rsidP="00541B7E">
      <w:pPr>
        <w:pStyle w:val="Prrafodelista"/>
        <w:numPr>
          <w:ilvl w:val="0"/>
          <w:numId w:val="6"/>
        </w:numPr>
        <w:rPr>
          <w:rFonts w:ascii="Palatino Linotype" w:hAnsi="Palatino Linotype"/>
          <w:sz w:val="22"/>
          <w:szCs w:val="22"/>
          <w:lang w:val="en-US"/>
        </w:rPr>
      </w:pPr>
      <w:r w:rsidRPr="00612443">
        <w:rPr>
          <w:rFonts w:ascii="Palatino Linotype" w:hAnsi="Palatino Linotype"/>
          <w:sz w:val="22"/>
          <w:szCs w:val="22"/>
          <w:lang w:val="en-US"/>
        </w:rPr>
        <w:t>Dominguez K. and F. Panthaki (2007): “The Influence of Actual and Unrequited Interventions”</w:t>
      </w:r>
    </w:p>
    <w:p w:rsidR="00B04210" w:rsidRPr="00612443" w:rsidRDefault="00B04210" w:rsidP="00D25185">
      <w:pPr>
        <w:pStyle w:val="Prrafodelista"/>
        <w:ind w:left="344"/>
        <w:rPr>
          <w:rFonts w:ascii="Palatino Linotype" w:hAnsi="Palatino Linotype"/>
          <w:sz w:val="22"/>
          <w:szCs w:val="22"/>
          <w:lang w:val="en-US"/>
        </w:rPr>
      </w:pPr>
      <w:r w:rsidRPr="00612443">
        <w:rPr>
          <w:rFonts w:ascii="Palatino Linotype" w:hAnsi="Palatino Linotype"/>
          <w:i/>
          <w:sz w:val="22"/>
          <w:szCs w:val="22"/>
          <w:lang w:val="en-US"/>
        </w:rPr>
        <w:t xml:space="preserve">International Journal of Finance and Economics </w:t>
      </w:r>
      <w:r w:rsidRPr="00612443">
        <w:rPr>
          <w:rFonts w:ascii="Palatino Linotype" w:hAnsi="Palatino Linotype"/>
          <w:b/>
          <w:sz w:val="22"/>
          <w:szCs w:val="22"/>
          <w:lang w:val="en-US"/>
        </w:rPr>
        <w:t xml:space="preserve">12: </w:t>
      </w:r>
      <w:r w:rsidRPr="00612443">
        <w:rPr>
          <w:rFonts w:ascii="Palatino Linotype" w:hAnsi="Palatino Linotype"/>
          <w:sz w:val="22"/>
          <w:szCs w:val="22"/>
          <w:lang w:val="en-US"/>
        </w:rPr>
        <w:t>171-200.</w:t>
      </w:r>
    </w:p>
    <w:p w:rsidR="00D25185" w:rsidRPr="00612443" w:rsidRDefault="00D25185" w:rsidP="00D25185">
      <w:pPr>
        <w:pStyle w:val="Prrafodelista"/>
        <w:ind w:left="344"/>
        <w:rPr>
          <w:rFonts w:ascii="Palatino Linotype" w:hAnsi="Palatino Linotype"/>
          <w:sz w:val="22"/>
          <w:szCs w:val="22"/>
          <w:lang w:val="en-US"/>
        </w:rPr>
      </w:pPr>
    </w:p>
    <w:p w:rsidR="003240AC" w:rsidRPr="00612443" w:rsidRDefault="00B60FFC" w:rsidP="00541B7E">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t xml:space="preserve"> </w:t>
      </w:r>
      <w:r w:rsidR="003240AC" w:rsidRPr="00612443">
        <w:rPr>
          <w:rFonts w:ascii="Palatino Linotype" w:hAnsi="Palatino Linotype"/>
          <w:sz w:val="22"/>
          <w:szCs w:val="22"/>
          <w:lang w:val="en-US"/>
        </w:rPr>
        <w:t>Dominguez K. (1999): “The Market Microstructure of Central Bank Interventions” NBER Working Paper 7337, September.</w:t>
      </w:r>
    </w:p>
    <w:p w:rsidR="00731285" w:rsidRPr="00612443" w:rsidRDefault="00B60FFC" w:rsidP="00541B7E">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t xml:space="preserve"> </w:t>
      </w:r>
      <w:r w:rsidR="00731285" w:rsidRPr="00612443">
        <w:rPr>
          <w:rFonts w:ascii="Palatino Linotype" w:hAnsi="Palatino Linotype"/>
          <w:sz w:val="22"/>
          <w:szCs w:val="22"/>
          <w:lang w:val="en-US"/>
        </w:rPr>
        <w:t xml:space="preserve">Fatum R. and M. Hutchison (2003): “Is Sterilised Foreign Exchange Intervention Effective After All? An Event Study Approach”. </w:t>
      </w:r>
      <w:r w:rsidR="00731285" w:rsidRPr="00612443">
        <w:rPr>
          <w:rFonts w:ascii="Palatino Linotype" w:hAnsi="Palatino Linotype"/>
          <w:i/>
          <w:sz w:val="22"/>
          <w:szCs w:val="22"/>
          <w:lang w:val="en-US"/>
        </w:rPr>
        <w:t>The Economic Journal</w:t>
      </w:r>
      <w:r w:rsidR="00731285" w:rsidRPr="00612443">
        <w:rPr>
          <w:rFonts w:ascii="Palatino Linotype" w:hAnsi="Palatino Linotype"/>
          <w:sz w:val="22"/>
          <w:szCs w:val="22"/>
          <w:lang w:val="en-US"/>
        </w:rPr>
        <w:t xml:space="preserve"> </w:t>
      </w:r>
      <w:r w:rsidR="00731285" w:rsidRPr="00612443">
        <w:rPr>
          <w:rFonts w:ascii="Palatino Linotype" w:hAnsi="Palatino Linotype"/>
          <w:b/>
          <w:sz w:val="22"/>
          <w:szCs w:val="22"/>
          <w:lang w:val="en-US"/>
        </w:rPr>
        <w:t>113</w:t>
      </w:r>
      <w:r w:rsidR="00731285" w:rsidRPr="00612443">
        <w:rPr>
          <w:rFonts w:ascii="Palatino Linotype" w:hAnsi="Palatino Linotype"/>
          <w:sz w:val="22"/>
          <w:szCs w:val="22"/>
          <w:lang w:val="en-US"/>
        </w:rPr>
        <w:t xml:space="preserve"> (April), 390-411</w:t>
      </w:r>
    </w:p>
    <w:p w:rsidR="00B60FFC" w:rsidRPr="00612443" w:rsidRDefault="00B60FFC" w:rsidP="00B60FFC">
      <w:pPr>
        <w:pStyle w:val="Paragraph"/>
        <w:numPr>
          <w:ilvl w:val="0"/>
          <w:numId w:val="6"/>
        </w:numPr>
        <w:rPr>
          <w:rFonts w:ascii="Palatino Linotype" w:eastAsiaTheme="minorEastAsia" w:hAnsi="Palatino Linotype"/>
          <w:noProof/>
          <w:szCs w:val="22"/>
          <w:lang w:val="en-US" w:eastAsia="es-CL"/>
        </w:rPr>
      </w:pPr>
      <w:r w:rsidRPr="00612443">
        <w:rPr>
          <w:rFonts w:ascii="Palatino Linotype" w:eastAsiaTheme="minorEastAsia" w:hAnsi="Palatino Linotype"/>
          <w:noProof/>
          <w:szCs w:val="22"/>
          <w:lang w:val="en-US" w:eastAsia="es-CL"/>
        </w:rPr>
        <w:t>Fuentes</w:t>
      </w:r>
      <w:r w:rsidR="00A54A76" w:rsidRPr="00612443">
        <w:rPr>
          <w:rFonts w:ascii="Palatino Linotype" w:eastAsiaTheme="minorEastAsia" w:hAnsi="Palatino Linotype"/>
          <w:noProof/>
          <w:szCs w:val="22"/>
          <w:lang w:val="en-US" w:eastAsia="es-CL"/>
        </w:rPr>
        <w:t xml:space="preserve"> M, </w:t>
      </w:r>
      <w:r w:rsidRPr="00612443">
        <w:rPr>
          <w:rFonts w:ascii="Palatino Linotype" w:eastAsiaTheme="minorEastAsia" w:hAnsi="Palatino Linotype"/>
          <w:noProof/>
          <w:szCs w:val="22"/>
          <w:lang w:val="en-US" w:eastAsia="es-CL"/>
        </w:rPr>
        <w:t>Pincheira</w:t>
      </w:r>
      <w:r w:rsidR="00A54A76" w:rsidRPr="00612443">
        <w:rPr>
          <w:rFonts w:ascii="Palatino Linotype" w:eastAsiaTheme="minorEastAsia" w:hAnsi="Palatino Linotype"/>
          <w:noProof/>
          <w:szCs w:val="22"/>
          <w:lang w:val="en-US" w:eastAsia="es-CL"/>
        </w:rPr>
        <w:t xml:space="preserve"> P, Rincó</w:t>
      </w:r>
      <w:r w:rsidRPr="00612443">
        <w:rPr>
          <w:rFonts w:ascii="Palatino Linotype" w:eastAsiaTheme="minorEastAsia" w:hAnsi="Palatino Linotype"/>
          <w:noProof/>
          <w:szCs w:val="22"/>
          <w:lang w:val="en-US" w:eastAsia="es-CL"/>
        </w:rPr>
        <w:t xml:space="preserve">n </w:t>
      </w:r>
      <w:r w:rsidR="00A54A76" w:rsidRPr="00612443">
        <w:rPr>
          <w:rFonts w:ascii="Palatino Linotype" w:eastAsiaTheme="minorEastAsia" w:hAnsi="Palatino Linotype"/>
          <w:noProof/>
          <w:szCs w:val="22"/>
          <w:lang w:val="en-US" w:eastAsia="es-CL"/>
        </w:rPr>
        <w:t xml:space="preserve">H, </w:t>
      </w:r>
      <w:r w:rsidRPr="00612443">
        <w:rPr>
          <w:rFonts w:ascii="Palatino Linotype" w:eastAsiaTheme="minorEastAsia" w:hAnsi="Palatino Linotype"/>
          <w:noProof/>
          <w:szCs w:val="22"/>
          <w:lang w:val="en-US" w:eastAsia="es-CL"/>
        </w:rPr>
        <w:t>Julio</w:t>
      </w:r>
      <w:r w:rsidR="00A54A76" w:rsidRPr="00612443">
        <w:rPr>
          <w:rFonts w:ascii="Palatino Linotype" w:eastAsiaTheme="minorEastAsia" w:hAnsi="Palatino Linotype"/>
          <w:noProof/>
          <w:szCs w:val="22"/>
          <w:lang w:val="en-US" w:eastAsia="es-CL"/>
        </w:rPr>
        <w:t xml:space="preserve"> J</w:t>
      </w:r>
      <w:r w:rsidRPr="00612443">
        <w:rPr>
          <w:rFonts w:ascii="Palatino Linotype" w:eastAsiaTheme="minorEastAsia" w:hAnsi="Palatino Linotype"/>
          <w:noProof/>
          <w:szCs w:val="22"/>
          <w:lang w:val="en-US" w:eastAsia="es-CL"/>
        </w:rPr>
        <w:t>, Garcia-Verdu</w:t>
      </w:r>
      <w:r w:rsidR="00A54A76" w:rsidRPr="00612443">
        <w:rPr>
          <w:rFonts w:ascii="Palatino Linotype" w:eastAsiaTheme="minorEastAsia" w:hAnsi="Palatino Linotype"/>
          <w:noProof/>
          <w:szCs w:val="22"/>
          <w:lang w:val="en-US" w:eastAsia="es-CL"/>
        </w:rPr>
        <w:t xml:space="preserve"> S, </w:t>
      </w:r>
      <w:r w:rsidRPr="00612443">
        <w:rPr>
          <w:rFonts w:ascii="Palatino Linotype" w:eastAsiaTheme="minorEastAsia" w:hAnsi="Palatino Linotype"/>
          <w:noProof/>
          <w:szCs w:val="22"/>
          <w:lang w:val="en-US" w:eastAsia="es-CL"/>
        </w:rPr>
        <w:t>Zerecero</w:t>
      </w:r>
      <w:r w:rsidR="00A54A76" w:rsidRPr="00612443">
        <w:rPr>
          <w:rFonts w:ascii="Palatino Linotype" w:eastAsiaTheme="minorEastAsia" w:hAnsi="Palatino Linotype"/>
          <w:noProof/>
          <w:szCs w:val="22"/>
          <w:lang w:val="en-US" w:eastAsia="es-CL"/>
        </w:rPr>
        <w:t xml:space="preserve"> M</w:t>
      </w:r>
      <w:r w:rsidRPr="00612443">
        <w:rPr>
          <w:rFonts w:ascii="Palatino Linotype" w:eastAsiaTheme="minorEastAsia" w:hAnsi="Palatino Linotype"/>
          <w:noProof/>
          <w:szCs w:val="22"/>
          <w:lang w:val="en-US" w:eastAsia="es-CL"/>
        </w:rPr>
        <w:t xml:space="preserve">, Vega </w:t>
      </w:r>
      <w:r w:rsidR="00A54A76" w:rsidRPr="00612443">
        <w:rPr>
          <w:rFonts w:ascii="Palatino Linotype" w:eastAsiaTheme="minorEastAsia" w:hAnsi="Palatino Linotype"/>
          <w:noProof/>
          <w:szCs w:val="22"/>
          <w:lang w:val="en-US" w:eastAsia="es-CL"/>
        </w:rPr>
        <w:t xml:space="preserve">M, </w:t>
      </w:r>
      <w:r w:rsidRPr="00612443">
        <w:rPr>
          <w:rFonts w:ascii="Palatino Linotype" w:eastAsiaTheme="minorEastAsia" w:hAnsi="Palatino Linotype"/>
          <w:noProof/>
          <w:szCs w:val="22"/>
          <w:lang w:val="en-US" w:eastAsia="es-CL"/>
        </w:rPr>
        <w:t>Lahura</w:t>
      </w:r>
      <w:r w:rsidR="00A54A76" w:rsidRPr="00612443">
        <w:rPr>
          <w:rFonts w:ascii="Palatino Linotype" w:eastAsiaTheme="minorEastAsia" w:hAnsi="Palatino Linotype"/>
          <w:noProof/>
          <w:szCs w:val="22"/>
          <w:lang w:val="en-US" w:eastAsia="es-CL"/>
        </w:rPr>
        <w:t xml:space="preserve"> E and </w:t>
      </w:r>
      <w:r w:rsidRPr="00612443">
        <w:rPr>
          <w:rFonts w:ascii="Palatino Linotype" w:eastAsiaTheme="minorEastAsia" w:hAnsi="Palatino Linotype"/>
          <w:noProof/>
          <w:szCs w:val="22"/>
          <w:lang w:val="en-US" w:eastAsia="es-CL"/>
        </w:rPr>
        <w:t xml:space="preserve"> Moreno</w:t>
      </w:r>
      <w:r w:rsidR="00A54A76" w:rsidRPr="00612443">
        <w:rPr>
          <w:rFonts w:ascii="Palatino Linotype" w:eastAsiaTheme="minorEastAsia" w:hAnsi="Palatino Linotype"/>
          <w:noProof/>
          <w:szCs w:val="22"/>
          <w:lang w:val="en-US" w:eastAsia="es-CL"/>
        </w:rPr>
        <w:t xml:space="preserve"> R (2013): “The effects of intraday foreign exchange market operations in Latin America: Results for Chile, Colombia, Mexico and Peru”. BIS manuscript.</w:t>
      </w:r>
    </w:p>
    <w:p w:rsidR="00731285" w:rsidRPr="00612443" w:rsidRDefault="00B60FFC" w:rsidP="00541B7E">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lastRenderedPageBreak/>
        <w:t xml:space="preserve"> </w:t>
      </w:r>
      <w:r w:rsidR="00AC17FA" w:rsidRPr="00612443">
        <w:rPr>
          <w:rFonts w:ascii="Palatino Linotype" w:hAnsi="Palatino Linotype"/>
          <w:sz w:val="22"/>
          <w:szCs w:val="22"/>
          <w:lang w:val="en-US"/>
        </w:rPr>
        <w:t>Gnabo J</w:t>
      </w:r>
      <w:r w:rsidR="00731285" w:rsidRPr="00612443">
        <w:rPr>
          <w:rFonts w:ascii="Palatino Linotype" w:hAnsi="Palatino Linotype"/>
          <w:sz w:val="22"/>
          <w:szCs w:val="22"/>
          <w:lang w:val="en-US"/>
        </w:rPr>
        <w:t xml:space="preserve">, Mello L. and Moccero (2010): “Interdependencies between Monetary Policy and Foreign Exchange Intervention under Inflation Targeting”. </w:t>
      </w:r>
      <w:r w:rsidR="00731285" w:rsidRPr="00612443">
        <w:rPr>
          <w:rFonts w:ascii="Palatino Linotype" w:hAnsi="Palatino Linotype"/>
          <w:i/>
          <w:sz w:val="22"/>
          <w:szCs w:val="22"/>
          <w:lang w:val="en-US"/>
        </w:rPr>
        <w:t>International Finance</w:t>
      </w:r>
      <w:r w:rsidR="00731285" w:rsidRPr="00612443">
        <w:rPr>
          <w:rFonts w:ascii="Palatino Linotype" w:hAnsi="Palatino Linotype"/>
          <w:sz w:val="22"/>
          <w:szCs w:val="22"/>
          <w:lang w:val="en-US"/>
        </w:rPr>
        <w:t xml:space="preserve"> </w:t>
      </w:r>
      <w:r w:rsidR="00731285" w:rsidRPr="00612443">
        <w:rPr>
          <w:rFonts w:ascii="Palatino Linotype" w:hAnsi="Palatino Linotype"/>
          <w:b/>
          <w:sz w:val="22"/>
          <w:szCs w:val="22"/>
          <w:lang w:val="en-US"/>
        </w:rPr>
        <w:t>13</w:t>
      </w:r>
      <w:r w:rsidR="00731285" w:rsidRPr="00612443">
        <w:rPr>
          <w:rFonts w:ascii="Palatino Linotype" w:hAnsi="Palatino Linotype"/>
          <w:sz w:val="22"/>
          <w:szCs w:val="22"/>
          <w:lang w:val="en-US"/>
        </w:rPr>
        <w:t>(2): 195-221.</w:t>
      </w:r>
    </w:p>
    <w:p w:rsidR="00541B7E" w:rsidRPr="00612443" w:rsidRDefault="00AC17FA" w:rsidP="00541B7E">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t xml:space="preserve"> </w:t>
      </w:r>
      <w:r w:rsidR="00541B7E" w:rsidRPr="00612443">
        <w:rPr>
          <w:rFonts w:ascii="Palatino Linotype" w:hAnsi="Palatino Linotype"/>
          <w:sz w:val="22"/>
          <w:szCs w:val="22"/>
          <w:lang w:val="en-US"/>
        </w:rPr>
        <w:t>Holub T. (2004): “Foreign exchange interventions under inflation targeting: the Czech Experience”, Research notes working paper series, No. 17, http://hdl.handle.net/10419/21879</w:t>
      </w:r>
    </w:p>
    <w:p w:rsidR="00731285" w:rsidRPr="00612443" w:rsidRDefault="00483E63" w:rsidP="00541B7E">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t xml:space="preserve"> </w:t>
      </w:r>
      <w:r w:rsidR="00731285" w:rsidRPr="00612443">
        <w:rPr>
          <w:rFonts w:ascii="Palatino Linotype" w:hAnsi="Palatino Linotype"/>
          <w:sz w:val="22"/>
          <w:szCs w:val="22"/>
          <w:lang w:val="en-US"/>
        </w:rPr>
        <w:t xml:space="preserve">Holub T. and A. Gersl (2006): “Foreign Exchange Interventions Under Inflation Targeting: The Czech Experience”. Contemporary Economic Policy, </w:t>
      </w:r>
      <w:r w:rsidR="00731285" w:rsidRPr="00612443">
        <w:rPr>
          <w:rFonts w:ascii="Palatino Linotype" w:hAnsi="Palatino Linotype"/>
          <w:i/>
          <w:sz w:val="22"/>
          <w:szCs w:val="22"/>
          <w:lang w:val="en-US"/>
        </w:rPr>
        <w:t>Western Economic Association International</w:t>
      </w:r>
      <w:r w:rsidR="00731285" w:rsidRPr="00612443">
        <w:rPr>
          <w:rFonts w:ascii="Palatino Linotype" w:hAnsi="Palatino Linotype"/>
          <w:sz w:val="22"/>
          <w:szCs w:val="22"/>
          <w:lang w:val="en-US"/>
        </w:rPr>
        <w:t xml:space="preserve">  </w:t>
      </w:r>
      <w:r w:rsidR="00731285" w:rsidRPr="00612443">
        <w:rPr>
          <w:rFonts w:ascii="Palatino Linotype" w:hAnsi="Palatino Linotype"/>
          <w:b/>
          <w:sz w:val="22"/>
          <w:szCs w:val="22"/>
          <w:lang w:val="en-US"/>
        </w:rPr>
        <w:t>24</w:t>
      </w:r>
      <w:r w:rsidR="00731285" w:rsidRPr="00612443">
        <w:rPr>
          <w:rFonts w:ascii="Palatino Linotype" w:hAnsi="Palatino Linotype"/>
          <w:sz w:val="22"/>
          <w:szCs w:val="22"/>
          <w:lang w:val="en-US"/>
        </w:rPr>
        <w:t>(4): 475-491.</w:t>
      </w:r>
    </w:p>
    <w:p w:rsidR="00D67271" w:rsidRPr="00612443" w:rsidRDefault="00483E63" w:rsidP="00541B7E">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t xml:space="preserve"> </w:t>
      </w:r>
      <w:r w:rsidR="000D18E6" w:rsidRPr="00612443">
        <w:rPr>
          <w:rFonts w:ascii="Palatino Linotype" w:hAnsi="Palatino Linotype"/>
          <w:sz w:val="22"/>
          <w:szCs w:val="22"/>
          <w:lang w:val="en-US"/>
        </w:rPr>
        <w:t xml:space="preserve">Kamil (2008): “Is </w:t>
      </w:r>
      <w:r w:rsidR="00FC063B" w:rsidRPr="00612443">
        <w:rPr>
          <w:rFonts w:ascii="Palatino Linotype" w:hAnsi="Palatino Linotype"/>
          <w:sz w:val="22"/>
          <w:szCs w:val="22"/>
          <w:lang w:val="en-US"/>
        </w:rPr>
        <w:t>C</w:t>
      </w:r>
      <w:r w:rsidR="000D18E6" w:rsidRPr="00612443">
        <w:rPr>
          <w:rFonts w:ascii="Palatino Linotype" w:hAnsi="Palatino Linotype"/>
          <w:sz w:val="22"/>
          <w:szCs w:val="22"/>
          <w:lang w:val="en-US"/>
        </w:rPr>
        <w:t xml:space="preserve">entral </w:t>
      </w:r>
      <w:r w:rsidR="00FC063B" w:rsidRPr="00612443">
        <w:rPr>
          <w:rFonts w:ascii="Palatino Linotype" w:hAnsi="Palatino Linotype"/>
          <w:sz w:val="22"/>
          <w:szCs w:val="22"/>
          <w:lang w:val="en-US"/>
        </w:rPr>
        <w:t>B</w:t>
      </w:r>
      <w:r w:rsidR="000D18E6" w:rsidRPr="00612443">
        <w:rPr>
          <w:rFonts w:ascii="Palatino Linotype" w:hAnsi="Palatino Linotype"/>
          <w:sz w:val="22"/>
          <w:szCs w:val="22"/>
          <w:lang w:val="en-US"/>
        </w:rPr>
        <w:t xml:space="preserve">ank </w:t>
      </w:r>
      <w:r w:rsidR="00FC063B" w:rsidRPr="00612443">
        <w:rPr>
          <w:rFonts w:ascii="Palatino Linotype" w:hAnsi="Palatino Linotype"/>
          <w:sz w:val="22"/>
          <w:szCs w:val="22"/>
          <w:lang w:val="en-US"/>
        </w:rPr>
        <w:t>I</w:t>
      </w:r>
      <w:r w:rsidR="000D18E6" w:rsidRPr="00612443">
        <w:rPr>
          <w:rFonts w:ascii="Palatino Linotype" w:hAnsi="Palatino Linotype"/>
          <w:sz w:val="22"/>
          <w:szCs w:val="22"/>
          <w:lang w:val="en-US"/>
        </w:rPr>
        <w:t xml:space="preserve">ntervention </w:t>
      </w:r>
      <w:r w:rsidR="00FC063B" w:rsidRPr="00612443">
        <w:rPr>
          <w:rFonts w:ascii="Palatino Linotype" w:hAnsi="Palatino Linotype"/>
          <w:sz w:val="22"/>
          <w:szCs w:val="22"/>
          <w:lang w:val="en-US"/>
        </w:rPr>
        <w:t>E</w:t>
      </w:r>
      <w:r w:rsidR="000D18E6" w:rsidRPr="00612443">
        <w:rPr>
          <w:rFonts w:ascii="Palatino Linotype" w:hAnsi="Palatino Linotype"/>
          <w:sz w:val="22"/>
          <w:szCs w:val="22"/>
          <w:lang w:val="en-US"/>
        </w:rPr>
        <w:t xml:space="preserve">ffective under </w:t>
      </w:r>
      <w:r w:rsidR="00FC063B" w:rsidRPr="00612443">
        <w:rPr>
          <w:rFonts w:ascii="Palatino Linotype" w:hAnsi="Palatino Linotype"/>
          <w:sz w:val="22"/>
          <w:szCs w:val="22"/>
          <w:lang w:val="en-US"/>
        </w:rPr>
        <w:t>I</w:t>
      </w:r>
      <w:r w:rsidR="000D18E6" w:rsidRPr="00612443">
        <w:rPr>
          <w:rFonts w:ascii="Palatino Linotype" w:hAnsi="Palatino Linotype"/>
          <w:sz w:val="22"/>
          <w:szCs w:val="22"/>
          <w:lang w:val="en-US"/>
        </w:rPr>
        <w:t xml:space="preserve">nflation </w:t>
      </w:r>
      <w:r w:rsidR="00FC063B" w:rsidRPr="00612443">
        <w:rPr>
          <w:rFonts w:ascii="Palatino Linotype" w:hAnsi="Palatino Linotype"/>
          <w:sz w:val="22"/>
          <w:szCs w:val="22"/>
          <w:lang w:val="en-US"/>
        </w:rPr>
        <w:t>T</w:t>
      </w:r>
      <w:r w:rsidR="000D18E6" w:rsidRPr="00612443">
        <w:rPr>
          <w:rFonts w:ascii="Palatino Linotype" w:hAnsi="Palatino Linotype"/>
          <w:sz w:val="22"/>
          <w:szCs w:val="22"/>
          <w:lang w:val="en-US"/>
        </w:rPr>
        <w:t xml:space="preserve">argeting </w:t>
      </w:r>
      <w:r w:rsidR="00FC063B" w:rsidRPr="00612443">
        <w:rPr>
          <w:rFonts w:ascii="Palatino Linotype" w:hAnsi="Palatino Linotype"/>
          <w:sz w:val="22"/>
          <w:szCs w:val="22"/>
          <w:lang w:val="en-US"/>
        </w:rPr>
        <w:t>R</w:t>
      </w:r>
      <w:r w:rsidR="000D18E6" w:rsidRPr="00612443">
        <w:rPr>
          <w:rFonts w:ascii="Palatino Linotype" w:hAnsi="Palatino Linotype"/>
          <w:sz w:val="22"/>
          <w:szCs w:val="22"/>
          <w:lang w:val="en-US"/>
        </w:rPr>
        <w:t xml:space="preserve">egimes? </w:t>
      </w:r>
      <w:r w:rsidR="00CF7470" w:rsidRPr="00612443">
        <w:rPr>
          <w:rFonts w:ascii="Palatino Linotype" w:hAnsi="Palatino Linotype"/>
          <w:sz w:val="22"/>
          <w:szCs w:val="22"/>
          <w:lang w:val="en-US"/>
        </w:rPr>
        <w:t>T</w:t>
      </w:r>
      <w:r w:rsidR="000D18E6" w:rsidRPr="00612443">
        <w:rPr>
          <w:rFonts w:ascii="Palatino Linotype" w:hAnsi="Palatino Linotype"/>
          <w:sz w:val="22"/>
          <w:szCs w:val="22"/>
          <w:lang w:val="en-US"/>
        </w:rPr>
        <w:t>he case of Colombia ”. IMF Working Papers 08/88, International Monetary Fund.</w:t>
      </w:r>
    </w:p>
    <w:p w:rsidR="00731285" w:rsidRPr="00612443" w:rsidRDefault="00213233" w:rsidP="00541B7E">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t xml:space="preserve"> </w:t>
      </w:r>
      <w:r w:rsidR="000D18E6" w:rsidRPr="00612443">
        <w:rPr>
          <w:rFonts w:ascii="Palatino Linotype" w:hAnsi="Palatino Linotype"/>
          <w:sz w:val="22"/>
          <w:szCs w:val="22"/>
          <w:lang w:val="en-US"/>
        </w:rPr>
        <w:t xml:space="preserve">Mishkin, F. (2000): “Inflation </w:t>
      </w:r>
      <w:r w:rsidR="00FC063B" w:rsidRPr="00612443">
        <w:rPr>
          <w:rFonts w:ascii="Palatino Linotype" w:hAnsi="Palatino Linotype"/>
          <w:sz w:val="22"/>
          <w:szCs w:val="22"/>
          <w:lang w:val="en-US"/>
        </w:rPr>
        <w:t>T</w:t>
      </w:r>
      <w:r w:rsidR="000D18E6" w:rsidRPr="00612443">
        <w:rPr>
          <w:rFonts w:ascii="Palatino Linotype" w:hAnsi="Palatino Linotype"/>
          <w:sz w:val="22"/>
          <w:szCs w:val="22"/>
          <w:lang w:val="en-US"/>
        </w:rPr>
        <w:t xml:space="preserve">argeting in </w:t>
      </w:r>
      <w:r w:rsidR="00FC063B" w:rsidRPr="00612443">
        <w:rPr>
          <w:rFonts w:ascii="Palatino Linotype" w:hAnsi="Palatino Linotype"/>
          <w:sz w:val="22"/>
          <w:szCs w:val="22"/>
          <w:lang w:val="en-US"/>
        </w:rPr>
        <w:t>E</w:t>
      </w:r>
      <w:r w:rsidR="000D18E6" w:rsidRPr="00612443">
        <w:rPr>
          <w:rFonts w:ascii="Palatino Linotype" w:hAnsi="Palatino Linotype"/>
          <w:sz w:val="22"/>
          <w:szCs w:val="22"/>
          <w:lang w:val="en-US"/>
        </w:rPr>
        <w:t xml:space="preserve">merging </w:t>
      </w:r>
      <w:r w:rsidR="00FC063B" w:rsidRPr="00612443">
        <w:rPr>
          <w:rFonts w:ascii="Palatino Linotype" w:hAnsi="Palatino Linotype"/>
          <w:sz w:val="22"/>
          <w:szCs w:val="22"/>
          <w:lang w:val="en-US"/>
        </w:rPr>
        <w:t>M</w:t>
      </w:r>
      <w:r w:rsidR="000D18E6" w:rsidRPr="00612443">
        <w:rPr>
          <w:rFonts w:ascii="Palatino Linotype" w:hAnsi="Palatino Linotype"/>
          <w:sz w:val="22"/>
          <w:szCs w:val="22"/>
          <w:lang w:val="en-US"/>
        </w:rPr>
        <w:t xml:space="preserve">arket </w:t>
      </w:r>
      <w:r w:rsidR="00FC063B" w:rsidRPr="00612443">
        <w:rPr>
          <w:rFonts w:ascii="Palatino Linotype" w:hAnsi="Palatino Linotype"/>
          <w:sz w:val="22"/>
          <w:szCs w:val="22"/>
          <w:lang w:val="en-US"/>
        </w:rPr>
        <w:t>C</w:t>
      </w:r>
      <w:r w:rsidR="000D18E6" w:rsidRPr="00612443">
        <w:rPr>
          <w:rFonts w:ascii="Palatino Linotype" w:hAnsi="Palatino Linotype"/>
          <w:sz w:val="22"/>
          <w:szCs w:val="22"/>
          <w:lang w:val="en-US"/>
        </w:rPr>
        <w:t xml:space="preserve">ountries”. </w:t>
      </w:r>
      <w:r w:rsidR="00731285" w:rsidRPr="00612443">
        <w:rPr>
          <w:rFonts w:ascii="Palatino Linotype" w:hAnsi="Palatino Linotype"/>
          <w:i/>
          <w:sz w:val="22"/>
          <w:szCs w:val="22"/>
          <w:lang w:val="en-US"/>
        </w:rPr>
        <w:t>American Economic Review</w:t>
      </w:r>
      <w:r w:rsidR="00731285" w:rsidRPr="00612443">
        <w:rPr>
          <w:rFonts w:ascii="Palatino Linotype" w:hAnsi="Palatino Linotype"/>
          <w:sz w:val="22"/>
          <w:szCs w:val="22"/>
          <w:lang w:val="en-US"/>
        </w:rPr>
        <w:t xml:space="preserve">, </w:t>
      </w:r>
      <w:r w:rsidR="00731285" w:rsidRPr="00612443">
        <w:rPr>
          <w:rFonts w:ascii="Palatino Linotype" w:hAnsi="Palatino Linotype"/>
          <w:b/>
          <w:sz w:val="22"/>
          <w:szCs w:val="22"/>
          <w:lang w:val="en-US"/>
        </w:rPr>
        <w:t>90</w:t>
      </w:r>
      <w:r w:rsidR="00731285" w:rsidRPr="00612443">
        <w:rPr>
          <w:rFonts w:ascii="Palatino Linotype" w:hAnsi="Palatino Linotype"/>
          <w:sz w:val="22"/>
          <w:szCs w:val="22"/>
          <w:lang w:val="en-US"/>
        </w:rPr>
        <w:t>(2): 105-109.</w:t>
      </w:r>
    </w:p>
    <w:p w:rsidR="00D67271" w:rsidRPr="00612443" w:rsidRDefault="00483E63" w:rsidP="00541B7E">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t xml:space="preserve"> </w:t>
      </w:r>
      <w:r w:rsidR="000D18E6" w:rsidRPr="00612443">
        <w:rPr>
          <w:rFonts w:ascii="Palatino Linotype" w:hAnsi="Palatino Linotype"/>
          <w:sz w:val="22"/>
          <w:szCs w:val="22"/>
          <w:lang w:val="en-US"/>
        </w:rPr>
        <w:t>Schmidt-Hebbel K and A Werner (2002): “Inflation Targeting in Brazil, Chile, and Mexico: Performance, Credibility, and the Exchange Rate ”</w:t>
      </w:r>
      <w:r w:rsidR="00D174C9" w:rsidRPr="00612443">
        <w:rPr>
          <w:rFonts w:ascii="Palatino Linotype" w:hAnsi="Palatino Linotype"/>
          <w:sz w:val="22"/>
          <w:szCs w:val="22"/>
          <w:lang w:val="en-US"/>
        </w:rPr>
        <w:t>,</w:t>
      </w:r>
      <w:r w:rsidR="000D18E6" w:rsidRPr="00612443">
        <w:rPr>
          <w:rFonts w:ascii="Palatino Linotype" w:hAnsi="Palatino Linotype"/>
          <w:sz w:val="22"/>
          <w:szCs w:val="22"/>
          <w:lang w:val="en-US"/>
        </w:rPr>
        <w:t xml:space="preserve"> </w:t>
      </w:r>
      <w:r w:rsidR="000D18E6" w:rsidRPr="00612443">
        <w:rPr>
          <w:rFonts w:ascii="Palatino Linotype" w:hAnsi="Palatino Linotype"/>
          <w:i/>
          <w:sz w:val="22"/>
          <w:szCs w:val="22"/>
          <w:lang w:val="en-US"/>
        </w:rPr>
        <w:t>Economia</w:t>
      </w:r>
      <w:r w:rsidR="00666C77" w:rsidRPr="00612443">
        <w:rPr>
          <w:rFonts w:ascii="Palatino Linotype" w:hAnsi="Palatino Linotype"/>
          <w:sz w:val="22"/>
          <w:szCs w:val="22"/>
          <w:lang w:val="en-US"/>
        </w:rPr>
        <w:t xml:space="preserve"> </w:t>
      </w:r>
      <w:r w:rsidR="000D18E6" w:rsidRPr="00612443">
        <w:rPr>
          <w:rFonts w:ascii="Palatino Linotype" w:hAnsi="Palatino Linotype"/>
          <w:b/>
          <w:bCs/>
          <w:sz w:val="22"/>
          <w:szCs w:val="22"/>
          <w:lang w:val="en-US"/>
        </w:rPr>
        <w:t>2</w:t>
      </w:r>
      <w:r w:rsidR="000D18E6" w:rsidRPr="00612443">
        <w:rPr>
          <w:rFonts w:ascii="Palatino Linotype" w:hAnsi="Palatino Linotype"/>
          <w:sz w:val="22"/>
          <w:szCs w:val="22"/>
          <w:lang w:val="en-US"/>
        </w:rPr>
        <w:t>(2): 31-89.</w:t>
      </w:r>
    </w:p>
    <w:p w:rsidR="00DE6F14" w:rsidRPr="00612443" w:rsidRDefault="00DE6F14" w:rsidP="00541B7E">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t xml:space="preserve"> Tapia M. and A. Tokman (2003): “Efectos de las intervenciones en el mercado cambiario: el caso de Chile”. </w:t>
      </w:r>
      <w:r w:rsidRPr="00612443">
        <w:rPr>
          <w:rFonts w:ascii="Palatino Linotype" w:hAnsi="Palatino Linotype"/>
          <w:i/>
          <w:sz w:val="22"/>
          <w:szCs w:val="22"/>
          <w:lang w:val="en-US"/>
        </w:rPr>
        <w:t xml:space="preserve">Estudios de Economía </w:t>
      </w:r>
      <w:r w:rsidRPr="00612443">
        <w:rPr>
          <w:rFonts w:ascii="Palatino Linotype" w:hAnsi="Palatino Linotype"/>
          <w:sz w:val="22"/>
          <w:szCs w:val="22"/>
          <w:lang w:val="en-US"/>
        </w:rPr>
        <w:t xml:space="preserve"> 30(1): 21-53</w:t>
      </w:r>
    </w:p>
    <w:p w:rsidR="00C12B0E" w:rsidRPr="00612443" w:rsidRDefault="00213233" w:rsidP="00541B7E">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t xml:space="preserve"> </w:t>
      </w:r>
      <w:r w:rsidR="00C12B0E" w:rsidRPr="00612443">
        <w:rPr>
          <w:rFonts w:ascii="Palatino Linotype" w:hAnsi="Palatino Linotype"/>
          <w:sz w:val="22"/>
          <w:szCs w:val="22"/>
          <w:lang w:val="en-US"/>
        </w:rPr>
        <w:t xml:space="preserve">Obstfeld, M., Shambaugh, J. C. and Taylor, A. M. (2005): “The Trilemma in History: Tradeoffs among Exchange Rates, Monetary Policies, and Capital Mobility”. </w:t>
      </w:r>
      <w:r w:rsidR="00C12B0E" w:rsidRPr="00612443">
        <w:rPr>
          <w:rFonts w:ascii="Palatino Linotype" w:hAnsi="Palatino Linotype"/>
          <w:i/>
          <w:sz w:val="22"/>
          <w:szCs w:val="22"/>
          <w:lang w:val="en-US"/>
        </w:rPr>
        <w:t xml:space="preserve">Review of Economic and Statistics </w:t>
      </w:r>
      <w:r w:rsidR="00C12B0E" w:rsidRPr="00612443">
        <w:rPr>
          <w:rFonts w:ascii="Palatino Linotype" w:hAnsi="Palatino Linotype"/>
          <w:b/>
          <w:sz w:val="22"/>
          <w:szCs w:val="22"/>
          <w:lang w:val="en-US"/>
        </w:rPr>
        <w:t>87</w:t>
      </w:r>
      <w:r w:rsidR="00C12B0E" w:rsidRPr="00612443">
        <w:rPr>
          <w:rFonts w:ascii="Palatino Linotype" w:hAnsi="Palatino Linotype"/>
          <w:sz w:val="22"/>
          <w:szCs w:val="22"/>
          <w:lang w:val="en-US"/>
        </w:rPr>
        <w:t>:423-38.</w:t>
      </w:r>
    </w:p>
    <w:p w:rsidR="00F63BBE" w:rsidRPr="00612443" w:rsidRDefault="00483E63" w:rsidP="00541B7E">
      <w:pPr>
        <w:pStyle w:val="Lista"/>
        <w:numPr>
          <w:ilvl w:val="0"/>
          <w:numId w:val="6"/>
        </w:numPr>
        <w:spacing w:before="50"/>
        <w:jc w:val="both"/>
        <w:rPr>
          <w:rFonts w:ascii="Palatino Linotype" w:hAnsi="Palatino Linotype"/>
          <w:sz w:val="22"/>
          <w:szCs w:val="22"/>
          <w:lang w:val="en-US"/>
        </w:rPr>
      </w:pPr>
      <w:r w:rsidRPr="00612443">
        <w:rPr>
          <w:rFonts w:ascii="Palatino Linotype" w:hAnsi="Palatino Linotype"/>
          <w:sz w:val="22"/>
          <w:szCs w:val="22"/>
          <w:lang w:val="en-US"/>
        </w:rPr>
        <w:t xml:space="preserve"> </w:t>
      </w:r>
      <w:r w:rsidR="00F63BBE" w:rsidRPr="00612443">
        <w:rPr>
          <w:rFonts w:ascii="Palatino Linotype" w:hAnsi="Palatino Linotype"/>
          <w:sz w:val="22"/>
          <w:szCs w:val="22"/>
          <w:lang w:val="en-US"/>
        </w:rPr>
        <w:t xml:space="preserve">Sarno L. and M. Taylor (2001): “Official Intervention in the Foreign Exchange Market: Is it Effective and, If So, How Does it Work?”. </w:t>
      </w:r>
      <w:r w:rsidR="00F63BBE" w:rsidRPr="00612443">
        <w:rPr>
          <w:rFonts w:ascii="Palatino Linotype" w:hAnsi="Palatino Linotype"/>
          <w:i/>
          <w:sz w:val="22"/>
          <w:szCs w:val="22"/>
          <w:lang w:val="en-US"/>
        </w:rPr>
        <w:t>Journal of Economic Literature</w:t>
      </w:r>
      <w:r w:rsidR="00F63BBE" w:rsidRPr="00612443">
        <w:rPr>
          <w:rFonts w:ascii="Palatino Linotype" w:hAnsi="Palatino Linotype"/>
          <w:sz w:val="22"/>
          <w:szCs w:val="22"/>
          <w:lang w:val="en-US"/>
        </w:rPr>
        <w:t xml:space="preserve"> </w:t>
      </w:r>
      <w:r w:rsidR="00F63BBE" w:rsidRPr="00612443">
        <w:rPr>
          <w:rFonts w:ascii="Palatino Linotype" w:hAnsi="Palatino Linotype"/>
          <w:b/>
          <w:sz w:val="22"/>
          <w:szCs w:val="22"/>
          <w:lang w:val="en-US"/>
        </w:rPr>
        <w:t>XXXIX</w:t>
      </w:r>
      <w:r w:rsidR="00F63BBE" w:rsidRPr="00612443">
        <w:rPr>
          <w:rFonts w:ascii="Palatino Linotype" w:hAnsi="Palatino Linotype"/>
          <w:sz w:val="22"/>
          <w:szCs w:val="22"/>
          <w:lang w:val="en-US"/>
        </w:rPr>
        <w:t xml:space="preserve"> (September 2001): 839-868.</w:t>
      </w:r>
    </w:p>
    <w:p w:rsidR="00604DFA" w:rsidRPr="00612443" w:rsidRDefault="00604DFA" w:rsidP="00213233">
      <w:pPr>
        <w:pStyle w:val="Lista"/>
        <w:spacing w:before="50"/>
        <w:ind w:left="360" w:firstLine="0"/>
        <w:jc w:val="both"/>
        <w:rPr>
          <w:rFonts w:ascii="Palatino Linotype" w:hAnsi="Palatino Linotype"/>
          <w:sz w:val="22"/>
          <w:szCs w:val="22"/>
          <w:lang w:val="en-US"/>
        </w:rPr>
      </w:pPr>
    </w:p>
    <w:p w:rsidR="00DE6F14" w:rsidRPr="00612443" w:rsidRDefault="00F27E57" w:rsidP="00DE6F14">
      <w:pPr>
        <w:pStyle w:val="Ttulo2"/>
        <w:widowControl/>
        <w:rPr>
          <w:rFonts w:ascii="Palatino Linotype" w:hAnsi="Palatino Linotype"/>
          <w:szCs w:val="22"/>
          <w:lang w:val="en-US"/>
        </w:rPr>
      </w:pPr>
      <w:r w:rsidRPr="00612443">
        <w:rPr>
          <w:rFonts w:ascii="Palatino Linotype" w:hAnsi="Palatino Linotype"/>
          <w:szCs w:val="22"/>
          <w:lang w:val="en-US"/>
        </w:rPr>
        <w:t xml:space="preserve">Data </w:t>
      </w:r>
      <w:r w:rsidR="00DE6F14" w:rsidRPr="00612443">
        <w:rPr>
          <w:rFonts w:ascii="Palatino Linotype" w:hAnsi="Palatino Linotype"/>
          <w:szCs w:val="22"/>
          <w:lang w:val="en-US"/>
        </w:rPr>
        <w:t xml:space="preserve">Appendix: </w:t>
      </w:r>
      <w:r w:rsidRPr="00612443">
        <w:rPr>
          <w:rFonts w:ascii="Palatino Linotype" w:hAnsi="Palatino Linotype"/>
          <w:szCs w:val="22"/>
          <w:lang w:val="en-US"/>
        </w:rPr>
        <w:t>Variable Definitions and Sources</w:t>
      </w:r>
    </w:p>
    <w:p w:rsidR="003B5BFE" w:rsidRPr="00612443" w:rsidRDefault="003B5BFE" w:rsidP="003B5BFE">
      <w:pPr>
        <w:rPr>
          <w:rFonts w:ascii="Palatino Linotype" w:hAnsi="Palatino Linotype"/>
          <w:lang w:val="en-US"/>
        </w:rPr>
      </w:pPr>
    </w:p>
    <w:tbl>
      <w:tblPr>
        <w:tblW w:w="10082" w:type="dxa"/>
        <w:jc w:val="center"/>
        <w:tblInd w:w="53" w:type="dxa"/>
        <w:tblCellMar>
          <w:left w:w="70" w:type="dxa"/>
          <w:right w:w="70" w:type="dxa"/>
        </w:tblCellMar>
        <w:tblLook w:val="04A0" w:firstRow="1" w:lastRow="0" w:firstColumn="1" w:lastColumn="0" w:noHBand="0" w:noVBand="1"/>
      </w:tblPr>
      <w:tblGrid>
        <w:gridCol w:w="1520"/>
        <w:gridCol w:w="5160"/>
        <w:gridCol w:w="3402"/>
      </w:tblGrid>
      <w:tr w:rsidR="003B5BFE" w:rsidRPr="00612443" w:rsidTr="003B5BFE">
        <w:trPr>
          <w:trHeight w:val="315"/>
          <w:jc w:val="center"/>
        </w:trPr>
        <w:tc>
          <w:tcPr>
            <w:tcW w:w="1520" w:type="dxa"/>
            <w:tcBorders>
              <w:top w:val="single" w:sz="4" w:space="0" w:color="auto"/>
              <w:left w:val="nil"/>
              <w:bottom w:val="double" w:sz="6" w:space="0" w:color="auto"/>
              <w:right w:val="nil"/>
            </w:tcBorders>
            <w:shd w:val="clear" w:color="auto" w:fill="auto"/>
            <w:noWrap/>
            <w:vAlign w:val="bottom"/>
            <w:hideMark/>
          </w:tcPr>
          <w:p w:rsidR="003B5BFE" w:rsidRPr="00612443" w:rsidRDefault="003B5BFE" w:rsidP="003B5BFE">
            <w:pPr>
              <w:rPr>
                <w:rFonts w:ascii="Palatino Linotype" w:eastAsia="Times New Roman" w:hAnsi="Palatino Linotype"/>
                <w:b/>
                <w:bCs/>
                <w:color w:val="000000"/>
                <w:sz w:val="18"/>
                <w:szCs w:val="18"/>
              </w:rPr>
            </w:pPr>
            <w:r w:rsidRPr="00612443">
              <w:rPr>
                <w:rFonts w:ascii="Palatino Linotype" w:eastAsia="Times New Roman" w:hAnsi="Palatino Linotype"/>
                <w:b/>
                <w:bCs/>
                <w:color w:val="000000"/>
                <w:sz w:val="18"/>
                <w:szCs w:val="18"/>
              </w:rPr>
              <w:t>Variable</w:t>
            </w:r>
          </w:p>
        </w:tc>
        <w:tc>
          <w:tcPr>
            <w:tcW w:w="5160" w:type="dxa"/>
            <w:tcBorders>
              <w:top w:val="single" w:sz="4" w:space="0" w:color="auto"/>
              <w:left w:val="nil"/>
              <w:bottom w:val="double" w:sz="6" w:space="0" w:color="auto"/>
              <w:right w:val="nil"/>
            </w:tcBorders>
            <w:shd w:val="clear" w:color="auto" w:fill="auto"/>
            <w:noWrap/>
            <w:vAlign w:val="bottom"/>
            <w:hideMark/>
          </w:tcPr>
          <w:p w:rsidR="003B5BFE" w:rsidRPr="00612443" w:rsidRDefault="003B5BFE" w:rsidP="003B5BFE">
            <w:pPr>
              <w:rPr>
                <w:rFonts w:ascii="Palatino Linotype" w:eastAsia="Times New Roman" w:hAnsi="Palatino Linotype"/>
                <w:b/>
                <w:bCs/>
                <w:color w:val="000000"/>
                <w:sz w:val="18"/>
                <w:szCs w:val="18"/>
              </w:rPr>
            </w:pPr>
            <w:r w:rsidRPr="00612443">
              <w:rPr>
                <w:rFonts w:ascii="Palatino Linotype" w:eastAsia="Times New Roman" w:hAnsi="Palatino Linotype"/>
                <w:b/>
                <w:bCs/>
                <w:color w:val="000000"/>
                <w:sz w:val="18"/>
                <w:szCs w:val="18"/>
              </w:rPr>
              <w:t>Definition</w:t>
            </w:r>
          </w:p>
        </w:tc>
        <w:tc>
          <w:tcPr>
            <w:tcW w:w="3402" w:type="dxa"/>
            <w:tcBorders>
              <w:top w:val="single" w:sz="4" w:space="0" w:color="auto"/>
              <w:left w:val="nil"/>
              <w:bottom w:val="double" w:sz="6" w:space="0" w:color="auto"/>
              <w:right w:val="nil"/>
            </w:tcBorders>
            <w:shd w:val="clear" w:color="auto" w:fill="auto"/>
            <w:noWrap/>
            <w:vAlign w:val="bottom"/>
            <w:hideMark/>
          </w:tcPr>
          <w:p w:rsidR="003B5BFE" w:rsidRPr="00612443" w:rsidRDefault="003B5BFE" w:rsidP="003B5BFE">
            <w:pPr>
              <w:rPr>
                <w:rFonts w:ascii="Palatino Linotype" w:eastAsia="Times New Roman" w:hAnsi="Palatino Linotype"/>
                <w:b/>
                <w:bCs/>
                <w:color w:val="000000"/>
                <w:sz w:val="18"/>
                <w:szCs w:val="18"/>
              </w:rPr>
            </w:pPr>
            <w:r w:rsidRPr="00612443">
              <w:rPr>
                <w:rFonts w:ascii="Palatino Linotype" w:eastAsia="Times New Roman" w:hAnsi="Palatino Linotype"/>
                <w:b/>
                <w:bCs/>
                <w:color w:val="000000"/>
                <w:sz w:val="18"/>
                <w:szCs w:val="18"/>
              </w:rPr>
              <w:t>Source</w:t>
            </w:r>
          </w:p>
        </w:tc>
      </w:tr>
      <w:tr w:rsidR="003B5BFE" w:rsidRPr="00612443" w:rsidTr="003B5BFE">
        <w:trPr>
          <w:trHeight w:val="315"/>
          <w:jc w:val="center"/>
        </w:trPr>
        <w:tc>
          <w:tcPr>
            <w:tcW w:w="152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t>VIX</w:t>
            </w:r>
          </w:p>
        </w:tc>
        <w:tc>
          <w:tcPr>
            <w:tcW w:w="516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Chicago Board Options Exchange Market Volatility Index</w:t>
            </w:r>
          </w:p>
        </w:tc>
        <w:tc>
          <w:tcPr>
            <w:tcW w:w="3402"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Federal Reserve Economic Data (FRED)</w:t>
            </w:r>
          </w:p>
        </w:tc>
      </w:tr>
      <w:tr w:rsidR="003B5BFE" w:rsidRPr="00612443" w:rsidTr="003B5BFE">
        <w:trPr>
          <w:trHeight w:val="300"/>
          <w:jc w:val="center"/>
        </w:trPr>
        <w:tc>
          <w:tcPr>
            <w:tcW w:w="152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t>WBCI</w:t>
            </w:r>
          </w:p>
        </w:tc>
        <w:tc>
          <w:tcPr>
            <w:tcW w:w="516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 xml:space="preserve">World Bank Commodities Prices Index </w:t>
            </w:r>
          </w:p>
        </w:tc>
        <w:tc>
          <w:tcPr>
            <w:tcW w:w="3402"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t>World Bank</w:t>
            </w:r>
          </w:p>
        </w:tc>
      </w:tr>
      <w:tr w:rsidR="003B5BFE" w:rsidRPr="00612443" w:rsidTr="003B5BFE">
        <w:trPr>
          <w:trHeight w:val="300"/>
          <w:jc w:val="center"/>
        </w:trPr>
        <w:tc>
          <w:tcPr>
            <w:tcW w:w="152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t>π_it^e (h)</w:t>
            </w:r>
          </w:p>
        </w:tc>
        <w:tc>
          <w:tcPr>
            <w:tcW w:w="516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Inflation expectation decile expressed in year on year variation</w:t>
            </w:r>
          </w:p>
        </w:tc>
        <w:tc>
          <w:tcPr>
            <w:tcW w:w="3402"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t>Central Bank of Chile</w:t>
            </w:r>
          </w:p>
        </w:tc>
      </w:tr>
      <w:tr w:rsidR="003B5BFE" w:rsidRPr="00612443" w:rsidTr="003B5BFE">
        <w:trPr>
          <w:trHeight w:val="300"/>
          <w:jc w:val="center"/>
        </w:trPr>
        <w:tc>
          <w:tcPr>
            <w:tcW w:w="152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t xml:space="preserve">Dow Jones Index </w:t>
            </w:r>
          </w:p>
        </w:tc>
        <w:tc>
          <w:tcPr>
            <w:tcW w:w="516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Monthly average of the Dow Jones Industrial Average</w:t>
            </w:r>
          </w:p>
        </w:tc>
        <w:tc>
          <w:tcPr>
            <w:tcW w:w="3402"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t>Dow Jones &amp; Company</w:t>
            </w:r>
          </w:p>
        </w:tc>
      </w:tr>
      <w:tr w:rsidR="003B5BFE" w:rsidRPr="00612443" w:rsidTr="003B5BFE">
        <w:trPr>
          <w:trHeight w:val="300"/>
          <w:jc w:val="center"/>
        </w:trPr>
        <w:tc>
          <w:tcPr>
            <w:tcW w:w="152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t>Food_t</w:t>
            </w:r>
          </w:p>
        </w:tc>
        <w:tc>
          <w:tcPr>
            <w:tcW w:w="516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Year-on-year food World Bank’s food prices index</w:t>
            </w:r>
          </w:p>
        </w:tc>
        <w:tc>
          <w:tcPr>
            <w:tcW w:w="3402"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Federal Reserve Economic Data (FRED)</w:t>
            </w:r>
          </w:p>
        </w:tc>
      </w:tr>
      <w:tr w:rsidR="003B5BFE" w:rsidRPr="00612443" w:rsidTr="003B5BFE">
        <w:trPr>
          <w:trHeight w:val="300"/>
          <w:jc w:val="center"/>
        </w:trPr>
        <w:tc>
          <w:tcPr>
            <w:tcW w:w="152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t>Fed_t</w:t>
            </w:r>
          </w:p>
        </w:tc>
        <w:tc>
          <w:tcPr>
            <w:tcW w:w="516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Monthly average of the Federal Reserve Funds Rate</w:t>
            </w:r>
          </w:p>
        </w:tc>
        <w:tc>
          <w:tcPr>
            <w:tcW w:w="3402"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Federal Reserve Economic Data (FRED)</w:t>
            </w:r>
          </w:p>
        </w:tc>
      </w:tr>
      <w:tr w:rsidR="003B5BFE" w:rsidRPr="00612443" w:rsidTr="003B5BFE">
        <w:trPr>
          <w:trHeight w:val="300"/>
          <w:jc w:val="center"/>
        </w:trPr>
        <w:tc>
          <w:tcPr>
            <w:tcW w:w="152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t>Exchange Rate</w:t>
            </w:r>
          </w:p>
        </w:tc>
        <w:tc>
          <w:tcPr>
            <w:tcW w:w="516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Monthly average of the observed dollar</w:t>
            </w:r>
          </w:p>
        </w:tc>
        <w:tc>
          <w:tcPr>
            <w:tcW w:w="3402"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t>Central Bank of Chile</w:t>
            </w:r>
          </w:p>
        </w:tc>
      </w:tr>
      <w:tr w:rsidR="003B5BFE" w:rsidRPr="00612443" w:rsidTr="003B5BFE">
        <w:trPr>
          <w:trHeight w:val="300"/>
          <w:jc w:val="center"/>
        </w:trPr>
        <w:tc>
          <w:tcPr>
            <w:tcW w:w="152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t>Oil_t</w:t>
            </w:r>
          </w:p>
        </w:tc>
        <w:tc>
          <w:tcPr>
            <w:tcW w:w="516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 xml:space="preserve">Twelve-month percentage change in Crude oil WTI prices </w:t>
            </w:r>
          </w:p>
        </w:tc>
        <w:tc>
          <w:tcPr>
            <w:tcW w:w="3402"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Federal Reserve Economic Data (FRED)</w:t>
            </w:r>
          </w:p>
        </w:tc>
      </w:tr>
      <w:tr w:rsidR="003B5BFE" w:rsidRPr="00612443" w:rsidTr="003B5BFE">
        <w:trPr>
          <w:trHeight w:val="300"/>
          <w:jc w:val="center"/>
        </w:trPr>
        <w:tc>
          <w:tcPr>
            <w:tcW w:w="152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t>Announcement</w:t>
            </w:r>
          </w:p>
        </w:tc>
        <w:tc>
          <w:tcPr>
            <w:tcW w:w="516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Interventions announcements or interruptions in billions of dollars</w:t>
            </w:r>
          </w:p>
        </w:tc>
        <w:tc>
          <w:tcPr>
            <w:tcW w:w="3402"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t>Central Bank of Chile</w:t>
            </w:r>
          </w:p>
        </w:tc>
      </w:tr>
      <w:tr w:rsidR="003B5BFE" w:rsidRPr="00612443" w:rsidTr="003B5BFE">
        <w:trPr>
          <w:trHeight w:val="300"/>
          <w:jc w:val="center"/>
        </w:trPr>
        <w:tc>
          <w:tcPr>
            <w:tcW w:w="152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lastRenderedPageBreak/>
              <w:t>M_t-1</w:t>
            </w:r>
          </w:p>
        </w:tc>
        <w:tc>
          <w:tcPr>
            <w:tcW w:w="516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Monthly interventions in billions of US dollars</w:t>
            </w:r>
          </w:p>
        </w:tc>
        <w:tc>
          <w:tcPr>
            <w:tcW w:w="3402"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t>Central Bank of Chile</w:t>
            </w:r>
          </w:p>
        </w:tc>
      </w:tr>
      <w:tr w:rsidR="003B5BFE" w:rsidRPr="00612443" w:rsidTr="003B5BFE">
        <w:trPr>
          <w:trHeight w:val="300"/>
          <w:jc w:val="center"/>
        </w:trPr>
        <w:tc>
          <w:tcPr>
            <w:tcW w:w="152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t>π_it</w:t>
            </w:r>
          </w:p>
        </w:tc>
        <w:tc>
          <w:tcPr>
            <w:tcW w:w="516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Year on year CPI variation(with base at 2009)</w:t>
            </w:r>
          </w:p>
        </w:tc>
        <w:tc>
          <w:tcPr>
            <w:tcW w:w="3402"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National Bureau of Statistics of Chile</w:t>
            </w:r>
          </w:p>
        </w:tc>
      </w:tr>
      <w:tr w:rsidR="003B5BFE" w:rsidRPr="00612443" w:rsidTr="003B5BFE">
        <w:trPr>
          <w:trHeight w:val="300"/>
          <w:jc w:val="center"/>
        </w:trPr>
        <w:tc>
          <w:tcPr>
            <w:tcW w:w="152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t>π_t</w:t>
            </w:r>
          </w:p>
        </w:tc>
        <w:tc>
          <w:tcPr>
            <w:tcW w:w="516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Daily inflation rate at day t</w:t>
            </w:r>
          </w:p>
        </w:tc>
        <w:tc>
          <w:tcPr>
            <w:tcW w:w="3402"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rPr>
              <w:t>Central Bank of Chile</w:t>
            </w:r>
          </w:p>
        </w:tc>
      </w:tr>
      <w:tr w:rsidR="003B5BFE" w:rsidRPr="00612443" w:rsidTr="003B5BFE">
        <w:trPr>
          <w:trHeight w:val="300"/>
          <w:jc w:val="center"/>
        </w:trPr>
        <w:tc>
          <w:tcPr>
            <w:tcW w:w="152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rPr>
            </w:pPr>
            <w:r w:rsidRPr="00612443">
              <w:rPr>
                <w:rFonts w:ascii="Palatino Linotype" w:eastAsia="Times New Roman" w:hAnsi="Palatino Linotype"/>
                <w:color w:val="000000"/>
                <w:sz w:val="18"/>
                <w:szCs w:val="18"/>
              </w:rPr>
              <w:t>r_t</w:t>
            </w:r>
          </w:p>
        </w:tc>
        <w:tc>
          <w:tcPr>
            <w:tcW w:w="516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Daily exchange rate log return</w:t>
            </w:r>
          </w:p>
        </w:tc>
        <w:tc>
          <w:tcPr>
            <w:tcW w:w="3402"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rPr>
              <w:t>Central Bank of Chile</w:t>
            </w:r>
          </w:p>
        </w:tc>
      </w:tr>
      <w:tr w:rsidR="003B5BFE" w:rsidRPr="00612443" w:rsidTr="003B5BFE">
        <w:trPr>
          <w:trHeight w:val="300"/>
          <w:jc w:val="center"/>
        </w:trPr>
        <w:tc>
          <w:tcPr>
            <w:tcW w:w="152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I_tˆ2008, I_tˆ2011</w:t>
            </w:r>
          </w:p>
        </w:tc>
        <w:tc>
          <w:tcPr>
            <w:tcW w:w="5160"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Daily interventions during 2008(201) program in millions of US$</w:t>
            </w:r>
          </w:p>
        </w:tc>
        <w:tc>
          <w:tcPr>
            <w:tcW w:w="3402" w:type="dxa"/>
            <w:tcBorders>
              <w:top w:val="nil"/>
              <w:left w:val="nil"/>
              <w:bottom w:val="nil"/>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lang w:val="en-US"/>
              </w:rPr>
              <w:t>Central Bank of Chile’s News Archive</w:t>
            </w:r>
          </w:p>
        </w:tc>
      </w:tr>
      <w:tr w:rsidR="003B5BFE" w:rsidRPr="00612443" w:rsidTr="003B5BFE">
        <w:trPr>
          <w:trHeight w:val="300"/>
          <w:jc w:val="center"/>
        </w:trPr>
        <w:tc>
          <w:tcPr>
            <w:tcW w:w="1520" w:type="dxa"/>
            <w:tcBorders>
              <w:top w:val="nil"/>
              <w:left w:val="nil"/>
              <w:bottom w:val="single" w:sz="4" w:space="0" w:color="auto"/>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rPr>
              <w:t>π_tˆe</w:t>
            </w:r>
          </w:p>
        </w:tc>
        <w:tc>
          <w:tcPr>
            <w:tcW w:w="5160" w:type="dxa"/>
            <w:tcBorders>
              <w:top w:val="nil"/>
              <w:left w:val="nil"/>
              <w:bottom w:val="single" w:sz="4" w:space="0" w:color="auto"/>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hAnsi="Palatino Linotype"/>
                <w:sz w:val="18"/>
                <w:szCs w:val="18"/>
                <w:lang w:val="en-US"/>
              </w:rPr>
              <w:t>Daily break-even inflation rate at day t</w:t>
            </w:r>
          </w:p>
        </w:tc>
        <w:tc>
          <w:tcPr>
            <w:tcW w:w="3402" w:type="dxa"/>
            <w:tcBorders>
              <w:top w:val="nil"/>
              <w:left w:val="nil"/>
              <w:bottom w:val="single" w:sz="4" w:space="0" w:color="auto"/>
              <w:right w:val="nil"/>
            </w:tcBorders>
            <w:shd w:val="clear" w:color="auto" w:fill="auto"/>
            <w:noWrap/>
            <w:vAlign w:val="bottom"/>
            <w:hideMark/>
          </w:tcPr>
          <w:p w:rsidR="003B5BFE" w:rsidRPr="00612443" w:rsidRDefault="003B5BFE" w:rsidP="003B5BFE">
            <w:pPr>
              <w:rPr>
                <w:rFonts w:ascii="Palatino Linotype" w:eastAsia="Times New Roman" w:hAnsi="Palatino Linotype"/>
                <w:color w:val="000000"/>
                <w:sz w:val="18"/>
                <w:szCs w:val="18"/>
                <w:lang w:val="en-US"/>
              </w:rPr>
            </w:pPr>
            <w:r w:rsidRPr="00612443">
              <w:rPr>
                <w:rFonts w:ascii="Palatino Linotype" w:eastAsia="Times New Roman" w:hAnsi="Palatino Linotype"/>
                <w:color w:val="000000"/>
                <w:sz w:val="18"/>
                <w:szCs w:val="18"/>
              </w:rPr>
              <w:t>Central Bank of Chile</w:t>
            </w:r>
          </w:p>
        </w:tc>
      </w:tr>
    </w:tbl>
    <w:p w:rsidR="003B5BFE" w:rsidRPr="00612443" w:rsidRDefault="003B5BFE" w:rsidP="003B5BFE">
      <w:pPr>
        <w:rPr>
          <w:rFonts w:ascii="Palatino Linotype" w:hAnsi="Palatino Linotype"/>
          <w:lang w:val="en-US"/>
        </w:rPr>
      </w:pPr>
    </w:p>
    <w:sectPr w:rsidR="003B5BFE" w:rsidRPr="00612443" w:rsidSect="00A731D1">
      <w:footerReference w:type="default" r:id="rId128"/>
      <w:pgSz w:w="12240" w:h="15840" w:code="122"/>
      <w:pgMar w:top="1418" w:right="1701" w:bottom="1418" w:left="1701" w:header="720" w:footer="720" w:gutter="0"/>
      <w:pgNumType w:start="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2EE" w:rsidRDefault="003632EE">
      <w:r>
        <w:separator/>
      </w:r>
    </w:p>
  </w:endnote>
  <w:endnote w:type="continuationSeparator" w:id="0">
    <w:p w:rsidR="003632EE" w:rsidRDefault="0036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dvPSA88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0B1" w:rsidRDefault="006950B1">
    <w:pPr>
      <w:widowControl w:val="0"/>
      <w:jc w:val="center"/>
    </w:pPr>
    <w: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2EE" w:rsidRDefault="003632EE">
      <w:r>
        <w:separator/>
      </w:r>
    </w:p>
  </w:footnote>
  <w:footnote w:type="continuationSeparator" w:id="0">
    <w:p w:rsidR="003632EE" w:rsidRDefault="003632EE">
      <w:r>
        <w:continuationSeparator/>
      </w:r>
    </w:p>
  </w:footnote>
  <w:footnote w:id="1">
    <w:p w:rsidR="006950B1" w:rsidRPr="00D105D3" w:rsidRDefault="006950B1" w:rsidP="00DA0988">
      <w:pPr>
        <w:pStyle w:val="Textonotapie"/>
        <w:ind w:left="0" w:firstLine="0"/>
        <w:jc w:val="both"/>
        <w:rPr>
          <w:rFonts w:ascii="Palatino Linotype" w:hAnsi="Palatino Linotype"/>
          <w:sz w:val="18"/>
          <w:szCs w:val="18"/>
          <w:lang w:val="en-US"/>
        </w:rPr>
      </w:pPr>
      <w:r w:rsidRPr="00D105D3">
        <w:rPr>
          <w:rStyle w:val="Refdenotaalpie"/>
          <w:rFonts w:ascii="Palatino Linotype" w:hAnsi="Palatino Linotype"/>
        </w:rPr>
        <w:sym w:font="Symbol" w:char="F02A"/>
      </w:r>
      <w:r w:rsidRPr="00D105D3">
        <w:rPr>
          <w:rFonts w:ascii="Palatino Linotype" w:hAnsi="Palatino Linotype"/>
          <w:lang w:val="en-US"/>
        </w:rPr>
        <w:t xml:space="preserve"> </w:t>
      </w:r>
      <w:r w:rsidRPr="00D105D3">
        <w:rPr>
          <w:rFonts w:ascii="Palatino Linotype" w:hAnsi="Palatino Linotype"/>
          <w:sz w:val="18"/>
          <w:szCs w:val="18"/>
          <w:lang w:val="en-US"/>
        </w:rPr>
        <w:t>I am grateful to Katheryn Dominguez, Emanuel Kohlscheen, Claudio Soto and Miguel Fuentes for wonderful comments. I am also grateful to Carlos Medel, Matías Morales and Mario Giarda for their superb assistance and to the BIS for encouraging this project. The paper has also benefited from the opinions expressed at the First and Second Plenary Sessions of the BIS CCA Working Group on Foreign Exchange Market Operations carried out in Mexico City in April 2012 and Cartagena, Colombia in November 2012. Most of this paper was written when I was with the Central Bank of Chile. All errors are mine.</w:t>
      </w:r>
    </w:p>
  </w:footnote>
  <w:footnote w:id="2">
    <w:p w:rsidR="006950B1" w:rsidRPr="00D105D3" w:rsidRDefault="006950B1" w:rsidP="00C26285">
      <w:pPr>
        <w:pStyle w:val="Textonotapie"/>
        <w:ind w:left="0" w:firstLine="0"/>
        <w:rPr>
          <w:rFonts w:ascii="Palatino Linotype" w:hAnsi="Palatino Linotype"/>
          <w:sz w:val="18"/>
          <w:szCs w:val="18"/>
          <w:lang w:val="en-US"/>
        </w:rPr>
      </w:pPr>
      <w:r w:rsidRPr="00D105D3">
        <w:rPr>
          <w:rStyle w:val="Refdenotaalpie"/>
          <w:rFonts w:ascii="Palatino Linotype" w:hAnsi="Palatino Linotype"/>
          <w:sz w:val="18"/>
          <w:szCs w:val="18"/>
        </w:rPr>
        <w:sym w:font="Symbol" w:char="F0A7"/>
      </w:r>
      <w:r w:rsidRPr="00D105D3">
        <w:rPr>
          <w:rFonts w:ascii="Palatino Linotype" w:hAnsi="Palatino Linotype"/>
          <w:sz w:val="18"/>
          <w:szCs w:val="18"/>
          <w:lang w:val="en-US"/>
        </w:rPr>
        <w:t xml:space="preserve"> Address: Diagonal Las Torres 2640, Peñalolén, Chile. Phone: +56 2 22311489. E-mail: </w:t>
      </w:r>
      <w:hyperlink r:id="rId1" w:history="1">
        <w:r w:rsidRPr="00D105D3">
          <w:rPr>
            <w:rStyle w:val="Hipervnculo"/>
            <w:rFonts w:ascii="Palatino Linotype" w:hAnsi="Palatino Linotype"/>
            <w:sz w:val="18"/>
            <w:szCs w:val="18"/>
            <w:lang w:val="en-US"/>
          </w:rPr>
          <w:t>pablo.pincheira@uai.cl</w:t>
        </w:r>
      </w:hyperlink>
      <w:r w:rsidRPr="00D105D3">
        <w:rPr>
          <w:rFonts w:ascii="Palatino Linotype" w:hAnsi="Palatino Linotype"/>
          <w:sz w:val="18"/>
          <w:szCs w:val="18"/>
          <w:lang w:val="en-US"/>
        </w:rPr>
        <w:t>.</w:t>
      </w:r>
    </w:p>
  </w:footnote>
  <w:footnote w:id="3">
    <w:p w:rsidR="006950B1" w:rsidRPr="0095219B" w:rsidRDefault="006950B1">
      <w:pPr>
        <w:pStyle w:val="Textonotapie"/>
        <w:rPr>
          <w:rFonts w:ascii="Palatino Linotype" w:hAnsi="Palatino Linotype"/>
          <w:sz w:val="18"/>
          <w:szCs w:val="18"/>
          <w:lang w:val="en-US"/>
        </w:rPr>
      </w:pPr>
      <w:r>
        <w:rPr>
          <w:rStyle w:val="Refdenotaalpie"/>
        </w:rPr>
        <w:footnoteRef/>
      </w:r>
      <w:r w:rsidRPr="00E73931">
        <w:rPr>
          <w:lang w:val="en-GB"/>
        </w:rPr>
        <w:t xml:space="preserve"> </w:t>
      </w:r>
      <w:r w:rsidRPr="0095219B">
        <w:rPr>
          <w:rFonts w:ascii="Palatino Linotype" w:hAnsi="Palatino Linotype"/>
          <w:sz w:val="18"/>
          <w:szCs w:val="18"/>
          <w:lang w:val="en-US"/>
        </w:rPr>
        <w:t>See Obstfeld, Shambaugh and Taylor (2005) and Aizenman (2011) for further insights about the trilemma or impossible trinity.</w:t>
      </w:r>
    </w:p>
  </w:footnote>
  <w:footnote w:id="4">
    <w:p w:rsidR="006950B1" w:rsidRPr="006950B1" w:rsidRDefault="006950B1" w:rsidP="00AA7843">
      <w:pPr>
        <w:pStyle w:val="Textonotapie"/>
        <w:widowControl/>
        <w:ind w:left="0" w:firstLine="0"/>
        <w:jc w:val="both"/>
        <w:rPr>
          <w:sz w:val="18"/>
          <w:szCs w:val="18"/>
          <w:lang w:val="en-US"/>
        </w:rPr>
      </w:pPr>
      <w:r>
        <w:rPr>
          <w:rStyle w:val="Refdenotaalpie"/>
        </w:rPr>
        <w:footnoteRef/>
      </w:r>
      <w:r w:rsidRPr="00AA7843">
        <w:rPr>
          <w:rStyle w:val="Refdenotaalpie"/>
        </w:rPr>
        <w:t xml:space="preserve"> </w:t>
      </w:r>
      <w:r w:rsidRPr="006950B1">
        <w:rPr>
          <w:rFonts w:ascii="Palatino Linotype" w:hAnsi="Palatino Linotype"/>
          <w:sz w:val="18"/>
          <w:szCs w:val="18"/>
          <w:lang w:val="en-US"/>
        </w:rPr>
        <w:t>See Holub (2004) for a consistency analysis between monetary policy and forex interventions in the Czech Republic.</w:t>
      </w:r>
    </w:p>
  </w:footnote>
  <w:footnote w:id="5">
    <w:p w:rsidR="006950B1" w:rsidRPr="006950B1" w:rsidRDefault="006950B1" w:rsidP="00367CD6">
      <w:pPr>
        <w:pStyle w:val="Textonotapie"/>
        <w:widowControl/>
        <w:ind w:left="0" w:firstLine="0"/>
        <w:jc w:val="both"/>
        <w:rPr>
          <w:rFonts w:ascii="Palatino Linotype" w:hAnsi="Palatino Linotype"/>
          <w:sz w:val="18"/>
          <w:szCs w:val="18"/>
          <w:lang w:val="en-US"/>
        </w:rPr>
      </w:pPr>
      <w:r w:rsidRPr="006950B1">
        <w:rPr>
          <w:rStyle w:val="Refdenotaalpie"/>
          <w:sz w:val="18"/>
          <w:szCs w:val="18"/>
        </w:rPr>
        <w:footnoteRef/>
      </w:r>
      <w:r w:rsidRPr="006950B1">
        <w:rPr>
          <w:sz w:val="18"/>
          <w:szCs w:val="18"/>
          <w:lang w:val="en-US"/>
        </w:rPr>
        <w:t xml:space="preserve"> </w:t>
      </w:r>
      <w:r w:rsidRPr="006950B1">
        <w:rPr>
          <w:rFonts w:ascii="Palatino Linotype" w:hAnsi="Palatino Linotype"/>
          <w:sz w:val="18"/>
          <w:szCs w:val="18"/>
          <w:lang w:val="en-US"/>
        </w:rPr>
        <w:t>It is important to point out that some intervention programs may be perceived as consistent with the inflationary target, so we should not expect any pervasive consequence for inflation expectations in this case. It is only when market players perceive that an intervention program is in a conflict with the inflationary target that this channel will be present.</w:t>
      </w:r>
    </w:p>
  </w:footnote>
  <w:footnote w:id="6">
    <w:p w:rsidR="006950B1" w:rsidRPr="006950B1" w:rsidRDefault="006950B1" w:rsidP="0058159B">
      <w:pPr>
        <w:pStyle w:val="Textonotapie"/>
        <w:widowControl/>
        <w:ind w:left="0" w:firstLine="0"/>
        <w:jc w:val="both"/>
        <w:rPr>
          <w:rFonts w:ascii="Palatino Linotype" w:hAnsi="Palatino Linotype"/>
          <w:sz w:val="18"/>
          <w:szCs w:val="18"/>
          <w:lang w:val="en-US"/>
        </w:rPr>
      </w:pPr>
      <w:r w:rsidRPr="00EB4BF2">
        <w:rPr>
          <w:rFonts w:ascii="Palatino Linotype" w:hAnsi="Palatino Linotype"/>
          <w:sz w:val="18"/>
          <w:szCs w:val="18"/>
          <w:vertAlign w:val="superscript"/>
          <w:lang w:val="en-US"/>
        </w:rPr>
        <w:footnoteRef/>
      </w:r>
      <w:r w:rsidRPr="00CE7857">
        <w:rPr>
          <w:lang w:val="en-US"/>
        </w:rPr>
        <w:t xml:space="preserve"> </w:t>
      </w:r>
      <w:r w:rsidRPr="006950B1">
        <w:rPr>
          <w:rFonts w:ascii="Palatino Linotype" w:hAnsi="Palatino Linotype"/>
          <w:sz w:val="18"/>
          <w:szCs w:val="18"/>
          <w:lang w:val="en-US"/>
        </w:rPr>
        <w:t>As mentioned by De Gregorio and Tokman (2004), the implementation of the free floating scheme was a reasonable thing to do, because the existence of two nominal anchors, the inflation and exchange rates, eroded the credibility of the inflation targeting regime, and undermined its effectiveness.</w:t>
      </w:r>
    </w:p>
  </w:footnote>
  <w:footnote w:id="7">
    <w:p w:rsidR="006950B1" w:rsidRPr="006950B1" w:rsidRDefault="006950B1" w:rsidP="000D5990">
      <w:pPr>
        <w:pStyle w:val="Textonotapie"/>
        <w:ind w:left="0" w:firstLine="0"/>
        <w:rPr>
          <w:rFonts w:ascii="Palatino Linotype" w:hAnsi="Palatino Linotype"/>
          <w:sz w:val="18"/>
          <w:szCs w:val="18"/>
          <w:lang w:val="en-US"/>
        </w:rPr>
      </w:pPr>
      <w:r w:rsidRPr="00EB4BF2">
        <w:rPr>
          <w:rFonts w:ascii="Palatino Linotype" w:hAnsi="Palatino Linotype"/>
          <w:sz w:val="18"/>
          <w:szCs w:val="18"/>
          <w:vertAlign w:val="superscript"/>
          <w:lang w:val="en-US"/>
        </w:rPr>
        <w:footnoteRef/>
      </w:r>
      <w:r w:rsidRPr="006950B1">
        <w:rPr>
          <w:rFonts w:ascii="Palatino Linotype" w:hAnsi="Palatino Linotype"/>
          <w:sz w:val="18"/>
          <w:szCs w:val="18"/>
          <w:lang w:val="en-US"/>
        </w:rPr>
        <w:t xml:space="preserve"> This type of unrequited intervention is analyzed in Dominguez and Panthaky (2007).  </w:t>
      </w:r>
    </w:p>
  </w:footnote>
  <w:footnote w:id="8">
    <w:p w:rsidR="006950B1" w:rsidRPr="006950B1" w:rsidRDefault="006950B1" w:rsidP="0058159B">
      <w:pPr>
        <w:pStyle w:val="Textonotapie"/>
        <w:widowControl/>
        <w:ind w:left="0" w:firstLine="0"/>
        <w:jc w:val="both"/>
        <w:rPr>
          <w:rFonts w:ascii="Palatino Linotype" w:hAnsi="Palatino Linotype"/>
          <w:sz w:val="18"/>
          <w:szCs w:val="18"/>
          <w:lang w:val="en-US"/>
        </w:rPr>
      </w:pPr>
      <w:r w:rsidRPr="00EB4BF2">
        <w:rPr>
          <w:rFonts w:ascii="Palatino Linotype" w:hAnsi="Palatino Linotype"/>
          <w:sz w:val="18"/>
          <w:szCs w:val="18"/>
          <w:vertAlign w:val="superscript"/>
          <w:lang w:val="en-US"/>
        </w:rPr>
        <w:footnoteRef/>
      </w:r>
      <w:r w:rsidRPr="006950B1">
        <w:rPr>
          <w:rFonts w:ascii="Palatino Linotype" w:hAnsi="Palatino Linotype"/>
          <w:sz w:val="18"/>
          <w:szCs w:val="18"/>
          <w:lang w:val="en-US"/>
        </w:rPr>
        <w:t xml:space="preserve"> It is worth noticing that all the four interventions mentioned in this paper were sterilised to avoid undesired inflationary effects.</w:t>
      </w:r>
    </w:p>
  </w:footnote>
  <w:footnote w:id="9">
    <w:p w:rsidR="0041049C" w:rsidRPr="003D7230" w:rsidRDefault="0041049C" w:rsidP="0041049C">
      <w:pPr>
        <w:pStyle w:val="Textonotapie"/>
        <w:rPr>
          <w:rFonts w:ascii="Palatino Linotype" w:hAnsi="Palatino Linotype"/>
          <w:sz w:val="18"/>
          <w:szCs w:val="18"/>
          <w:lang w:val="en-US"/>
        </w:rPr>
      </w:pPr>
      <w:r w:rsidRPr="003D7230">
        <w:rPr>
          <w:rFonts w:ascii="Palatino Linotype" w:hAnsi="Palatino Linotype"/>
          <w:sz w:val="18"/>
          <w:szCs w:val="18"/>
          <w:vertAlign w:val="superscript"/>
          <w:lang w:val="en-US"/>
        </w:rPr>
        <w:footnoteRef/>
      </w:r>
      <w:r w:rsidRPr="003D7230">
        <w:rPr>
          <w:rFonts w:ascii="Palatino Linotype" w:hAnsi="Palatino Linotype"/>
          <w:sz w:val="18"/>
          <w:szCs w:val="18"/>
          <w:lang w:val="en-US"/>
        </w:rPr>
        <w:t xml:space="preserve"> The exact time of the announcement is unknown.</w:t>
      </w:r>
    </w:p>
  </w:footnote>
  <w:footnote w:id="10">
    <w:p w:rsidR="0041049C" w:rsidRPr="003D7230" w:rsidRDefault="0041049C" w:rsidP="0041049C">
      <w:pPr>
        <w:pStyle w:val="Textonotapie"/>
        <w:rPr>
          <w:rFonts w:ascii="Palatino Linotype" w:hAnsi="Palatino Linotype"/>
          <w:sz w:val="18"/>
          <w:szCs w:val="18"/>
          <w:lang w:val="en-US"/>
        </w:rPr>
      </w:pPr>
      <w:r w:rsidRPr="003D7230">
        <w:rPr>
          <w:rFonts w:ascii="Palatino Linotype" w:hAnsi="Palatino Linotype"/>
          <w:sz w:val="18"/>
          <w:szCs w:val="18"/>
          <w:vertAlign w:val="superscript"/>
          <w:lang w:val="en-US"/>
        </w:rPr>
        <w:footnoteRef/>
      </w:r>
      <w:r w:rsidRPr="003D7230">
        <w:rPr>
          <w:rFonts w:ascii="Palatino Linotype" w:hAnsi="Palatino Linotype"/>
          <w:sz w:val="18"/>
          <w:szCs w:val="18"/>
          <w:lang w:val="en-US"/>
        </w:rPr>
        <w:t xml:space="preserve"> The exact time of this announcement is also unknown.</w:t>
      </w:r>
    </w:p>
  </w:footnote>
  <w:footnote w:id="11">
    <w:p w:rsidR="0041049C" w:rsidRPr="003D7230" w:rsidRDefault="0041049C" w:rsidP="0041049C">
      <w:pPr>
        <w:pStyle w:val="Textonotapie"/>
        <w:jc w:val="both"/>
        <w:rPr>
          <w:rFonts w:ascii="Palatino Linotype" w:hAnsi="Palatino Linotype"/>
          <w:sz w:val="18"/>
          <w:szCs w:val="18"/>
          <w:lang w:val="en-US"/>
        </w:rPr>
      </w:pPr>
      <w:r w:rsidRPr="003D7230">
        <w:rPr>
          <w:rFonts w:ascii="Palatino Linotype" w:hAnsi="Palatino Linotype"/>
          <w:sz w:val="18"/>
          <w:szCs w:val="18"/>
          <w:vertAlign w:val="superscript"/>
          <w:lang w:val="en-US"/>
        </w:rPr>
        <w:footnoteRef/>
      </w:r>
      <w:r w:rsidRPr="003D7230">
        <w:rPr>
          <w:rFonts w:ascii="Palatino Linotype" w:hAnsi="Palatino Linotype"/>
          <w:sz w:val="18"/>
          <w:szCs w:val="18"/>
          <w:lang w:val="en-US"/>
        </w:rPr>
        <w:t xml:space="preserve"> These short-term prices are calculated according to the representative price of the currency following the methodology in Dominguez (1999). Most of the short-term prices correspond to five-minute prices. This means that they are representative prices of the transactions that occurred in a five minute window. Nevertheless, we also consider in our analysis longer period windows when no transactions are recorded during a five-minute window. We also include in our data the open and close price. In summary, our data are heterogenous, but they share the common feature of being either five-minute prices or the representative exchange rate during the shortest available window when no transactions are recorded during a five-minute window. </w:t>
      </w:r>
    </w:p>
  </w:footnote>
  <w:footnote w:id="12">
    <w:p w:rsidR="0041049C" w:rsidRPr="00612D21" w:rsidRDefault="0041049C" w:rsidP="0041049C">
      <w:pPr>
        <w:pStyle w:val="Textonotapie"/>
        <w:widowControl/>
        <w:ind w:left="0" w:firstLine="0"/>
        <w:jc w:val="both"/>
        <w:rPr>
          <w:rFonts w:ascii="Palatino Linotype" w:hAnsi="Palatino Linotype"/>
          <w:sz w:val="18"/>
          <w:szCs w:val="18"/>
          <w:lang w:val="en-US"/>
        </w:rPr>
      </w:pPr>
      <w:r w:rsidRPr="00612D21">
        <w:rPr>
          <w:rFonts w:ascii="Palatino Linotype" w:hAnsi="Palatino Linotype"/>
          <w:sz w:val="18"/>
          <w:szCs w:val="18"/>
          <w:vertAlign w:val="superscript"/>
          <w:lang w:val="en-US"/>
        </w:rPr>
        <w:footnoteRef/>
      </w:r>
      <w:r w:rsidRPr="00CE7857">
        <w:rPr>
          <w:lang w:val="en-US"/>
        </w:rPr>
        <w:t xml:space="preserve"> </w:t>
      </w:r>
      <w:r w:rsidRPr="00612D21">
        <w:rPr>
          <w:rFonts w:ascii="Palatino Linotype" w:hAnsi="Palatino Linotype"/>
          <w:sz w:val="18"/>
          <w:szCs w:val="18"/>
          <w:lang w:val="en-US"/>
        </w:rPr>
        <w:t>See the appendix for a description of data sources.</w:t>
      </w:r>
    </w:p>
  </w:footnote>
  <w:footnote w:id="13">
    <w:p w:rsidR="0041049C" w:rsidRPr="00087A7E" w:rsidRDefault="0041049C" w:rsidP="0041049C">
      <w:pPr>
        <w:pStyle w:val="Textonotapie"/>
        <w:widowControl/>
        <w:ind w:left="0" w:firstLine="0"/>
        <w:jc w:val="both"/>
        <w:rPr>
          <w:rFonts w:ascii="Palatino Linotype" w:hAnsi="Palatino Linotype"/>
          <w:sz w:val="18"/>
          <w:szCs w:val="18"/>
          <w:lang w:val="en-US"/>
        </w:rPr>
      </w:pPr>
      <w:r w:rsidRPr="00087A7E">
        <w:rPr>
          <w:rStyle w:val="Refdenotaalpie"/>
          <w:rFonts w:ascii="Palatino Linotype" w:hAnsi="Palatino Linotype"/>
          <w:sz w:val="18"/>
          <w:szCs w:val="18"/>
        </w:rPr>
        <w:footnoteRef/>
      </w:r>
      <w:r w:rsidRPr="00087A7E">
        <w:rPr>
          <w:rFonts w:ascii="Palatino Linotype" w:hAnsi="Palatino Linotype"/>
          <w:sz w:val="18"/>
          <w:szCs w:val="18"/>
          <w:lang w:val="en-US"/>
        </w:rPr>
        <w:t xml:space="preserve"> See the appendix for a description of data sources.</w:t>
      </w:r>
    </w:p>
  </w:footnote>
  <w:footnote w:id="14">
    <w:p w:rsidR="006950B1" w:rsidRPr="00FF1969" w:rsidRDefault="006950B1" w:rsidP="00B60FFC">
      <w:pPr>
        <w:pStyle w:val="Textonotapie"/>
        <w:widowControl/>
        <w:ind w:left="0" w:firstLine="0"/>
        <w:jc w:val="both"/>
        <w:rPr>
          <w:rFonts w:ascii="Palatino Linotype" w:hAnsi="Palatino Linotype"/>
          <w:sz w:val="18"/>
          <w:szCs w:val="18"/>
          <w:lang w:val="en-US"/>
        </w:rPr>
      </w:pPr>
      <w:r w:rsidRPr="00FF1969">
        <w:rPr>
          <w:rFonts w:ascii="Palatino Linotype" w:hAnsi="Palatino Linotype"/>
          <w:sz w:val="18"/>
          <w:szCs w:val="18"/>
          <w:vertAlign w:val="superscript"/>
          <w:lang w:val="en-US"/>
        </w:rPr>
        <w:footnoteRef/>
      </w:r>
      <w:r w:rsidRPr="00FF1969">
        <w:rPr>
          <w:rFonts w:ascii="Palatino Linotype" w:hAnsi="Palatino Linotype"/>
          <w:sz w:val="18"/>
          <w:szCs w:val="18"/>
          <w:lang w:val="en-US"/>
        </w:rPr>
        <w:t xml:space="preserve"> See the appendix for a description of data sources.</w:t>
      </w:r>
    </w:p>
  </w:footnote>
  <w:footnote w:id="15">
    <w:p w:rsidR="006950B1" w:rsidRPr="00444D56" w:rsidRDefault="006950B1" w:rsidP="001356CD">
      <w:pPr>
        <w:pStyle w:val="Textonotapie"/>
        <w:jc w:val="both"/>
        <w:rPr>
          <w:rFonts w:ascii="Palatino Linotype" w:hAnsi="Palatino Linotype"/>
          <w:sz w:val="18"/>
          <w:szCs w:val="18"/>
          <w:lang w:val="en-US"/>
        </w:rPr>
      </w:pPr>
      <w:r w:rsidRPr="00444D56">
        <w:rPr>
          <w:rStyle w:val="Refdenotaalpie"/>
          <w:rFonts w:ascii="Palatino Linotype" w:hAnsi="Palatino Linotype"/>
          <w:sz w:val="18"/>
          <w:szCs w:val="18"/>
        </w:rPr>
        <w:footnoteRef/>
      </w:r>
      <w:r w:rsidRPr="00E73931">
        <w:rPr>
          <w:lang w:val="en-GB"/>
        </w:rPr>
        <w:t xml:space="preserve"> </w:t>
      </w:r>
      <w:r w:rsidRPr="00444D56">
        <w:rPr>
          <w:rFonts w:ascii="Palatino Linotype" w:hAnsi="Palatino Linotype"/>
          <w:sz w:val="18"/>
          <w:szCs w:val="18"/>
          <w:lang w:val="en-US"/>
        </w:rPr>
        <w:t xml:space="preserve">Differences between single and joint tests are typically due to the correlation structure of the t-statistics. When testing a set of single hypothesis using t-statistics, their correlation structure is overlooked creating some discrepancies with a joint test that takes into account this correlation structure. </w:t>
      </w:r>
    </w:p>
  </w:footnote>
  <w:footnote w:id="16">
    <w:p w:rsidR="006950B1" w:rsidRPr="00373B07" w:rsidRDefault="006950B1" w:rsidP="00D0460B">
      <w:pPr>
        <w:pStyle w:val="Textonotapie"/>
        <w:jc w:val="both"/>
        <w:rPr>
          <w:rFonts w:ascii="Palatino Linotype" w:hAnsi="Palatino Linotype"/>
          <w:sz w:val="18"/>
          <w:szCs w:val="18"/>
          <w:lang w:val="en-GB"/>
        </w:rPr>
      </w:pPr>
      <w:r>
        <w:rPr>
          <w:rStyle w:val="Refdenotaalpie"/>
        </w:rPr>
        <w:footnoteRef/>
      </w:r>
      <w:r w:rsidRPr="00E73931">
        <w:rPr>
          <w:lang w:val="en-GB"/>
        </w:rPr>
        <w:t xml:space="preserve"> </w:t>
      </w:r>
      <w:r w:rsidRPr="00373B07">
        <w:rPr>
          <w:rFonts w:ascii="Palatino Linotype" w:hAnsi="Palatino Linotype"/>
          <w:sz w:val="18"/>
          <w:szCs w:val="18"/>
          <w:lang w:val="en-GB"/>
        </w:rPr>
        <w:t>Gnabo, Mello and Moccero (2010) study the interdependencies between monetary policy and forex interventions in inflation targeting economies. This type of linkage might help to explain the heterogeneous results shown in this paper for the two intervention programs under consideration.</w:t>
      </w:r>
    </w:p>
  </w:footnote>
  <w:footnote w:id="17">
    <w:p w:rsidR="006950B1" w:rsidRPr="004A3EE7" w:rsidRDefault="006950B1" w:rsidP="00B60FFC">
      <w:pPr>
        <w:pStyle w:val="Textonotapie"/>
        <w:widowControl/>
        <w:ind w:left="0" w:firstLine="0"/>
        <w:jc w:val="both"/>
        <w:rPr>
          <w:rFonts w:ascii="Palatino Linotype" w:hAnsi="Palatino Linotype"/>
          <w:lang w:val="en-US"/>
        </w:rPr>
      </w:pPr>
      <w:r w:rsidRPr="004A3EE7">
        <w:rPr>
          <w:rStyle w:val="Refdenotaalpie"/>
          <w:rFonts w:ascii="Palatino Linotype" w:hAnsi="Palatino Linotype"/>
        </w:rPr>
        <w:footnoteRef/>
      </w:r>
      <w:r w:rsidRPr="004A3EE7">
        <w:rPr>
          <w:rFonts w:ascii="Palatino Linotype" w:hAnsi="Palatino Linotype"/>
          <w:lang w:val="en-US"/>
        </w:rPr>
        <w:t xml:space="preserve"> See the appendix for a description of data sources.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86F3B"/>
    <w:multiLevelType w:val="hybridMultilevel"/>
    <w:tmpl w:val="0E9CEBDC"/>
    <w:lvl w:ilvl="0" w:tplc="8B6299F4">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345563ED"/>
    <w:multiLevelType w:val="hybridMultilevel"/>
    <w:tmpl w:val="707CC6EE"/>
    <w:lvl w:ilvl="0" w:tplc="340A000F">
      <w:start w:val="1"/>
      <w:numFmt w:val="decimal"/>
      <w:lvlText w:val="%1."/>
      <w:lvlJc w:val="left"/>
      <w:pPr>
        <w:ind w:left="1008" w:hanging="360"/>
      </w:pPr>
    </w:lvl>
    <w:lvl w:ilvl="1" w:tplc="340A0019" w:tentative="1">
      <w:start w:val="1"/>
      <w:numFmt w:val="lowerLetter"/>
      <w:lvlText w:val="%2."/>
      <w:lvlJc w:val="left"/>
      <w:pPr>
        <w:ind w:left="1728" w:hanging="360"/>
      </w:pPr>
    </w:lvl>
    <w:lvl w:ilvl="2" w:tplc="340A001B" w:tentative="1">
      <w:start w:val="1"/>
      <w:numFmt w:val="lowerRoman"/>
      <w:lvlText w:val="%3."/>
      <w:lvlJc w:val="right"/>
      <w:pPr>
        <w:ind w:left="2448" w:hanging="180"/>
      </w:pPr>
    </w:lvl>
    <w:lvl w:ilvl="3" w:tplc="340A000F" w:tentative="1">
      <w:start w:val="1"/>
      <w:numFmt w:val="decimal"/>
      <w:lvlText w:val="%4."/>
      <w:lvlJc w:val="left"/>
      <w:pPr>
        <w:ind w:left="3168" w:hanging="360"/>
      </w:pPr>
    </w:lvl>
    <w:lvl w:ilvl="4" w:tplc="340A0019" w:tentative="1">
      <w:start w:val="1"/>
      <w:numFmt w:val="lowerLetter"/>
      <w:lvlText w:val="%5."/>
      <w:lvlJc w:val="left"/>
      <w:pPr>
        <w:ind w:left="3888" w:hanging="360"/>
      </w:pPr>
    </w:lvl>
    <w:lvl w:ilvl="5" w:tplc="340A001B" w:tentative="1">
      <w:start w:val="1"/>
      <w:numFmt w:val="lowerRoman"/>
      <w:lvlText w:val="%6."/>
      <w:lvlJc w:val="right"/>
      <w:pPr>
        <w:ind w:left="4608" w:hanging="180"/>
      </w:pPr>
    </w:lvl>
    <w:lvl w:ilvl="6" w:tplc="340A000F" w:tentative="1">
      <w:start w:val="1"/>
      <w:numFmt w:val="decimal"/>
      <w:lvlText w:val="%7."/>
      <w:lvlJc w:val="left"/>
      <w:pPr>
        <w:ind w:left="5328" w:hanging="360"/>
      </w:pPr>
    </w:lvl>
    <w:lvl w:ilvl="7" w:tplc="340A0019" w:tentative="1">
      <w:start w:val="1"/>
      <w:numFmt w:val="lowerLetter"/>
      <w:lvlText w:val="%8."/>
      <w:lvlJc w:val="left"/>
      <w:pPr>
        <w:ind w:left="6048" w:hanging="360"/>
      </w:pPr>
    </w:lvl>
    <w:lvl w:ilvl="8" w:tplc="340A001B" w:tentative="1">
      <w:start w:val="1"/>
      <w:numFmt w:val="lowerRoman"/>
      <w:lvlText w:val="%9."/>
      <w:lvlJc w:val="right"/>
      <w:pPr>
        <w:ind w:left="6768" w:hanging="180"/>
      </w:pPr>
    </w:lvl>
  </w:abstractNum>
  <w:abstractNum w:abstractNumId="2">
    <w:nsid w:val="509E7B4F"/>
    <w:multiLevelType w:val="hybridMultilevel"/>
    <w:tmpl w:val="A692E378"/>
    <w:lvl w:ilvl="0" w:tplc="8B6299F4">
      <w:start w:val="1"/>
      <w:numFmt w:val="decimal"/>
      <w:lvlText w:val="%1."/>
      <w:lvlJc w:val="left"/>
      <w:pPr>
        <w:ind w:left="328" w:hanging="360"/>
      </w:pPr>
      <w:rPr>
        <w:rFonts w:hint="default"/>
      </w:rPr>
    </w:lvl>
    <w:lvl w:ilvl="1" w:tplc="340A0019" w:tentative="1">
      <w:start w:val="1"/>
      <w:numFmt w:val="lowerLetter"/>
      <w:lvlText w:val="%2."/>
      <w:lvlJc w:val="left"/>
      <w:pPr>
        <w:ind w:left="1424" w:hanging="360"/>
      </w:pPr>
    </w:lvl>
    <w:lvl w:ilvl="2" w:tplc="340A001B" w:tentative="1">
      <w:start w:val="1"/>
      <w:numFmt w:val="lowerRoman"/>
      <w:lvlText w:val="%3."/>
      <w:lvlJc w:val="right"/>
      <w:pPr>
        <w:ind w:left="2144" w:hanging="180"/>
      </w:pPr>
    </w:lvl>
    <w:lvl w:ilvl="3" w:tplc="340A000F" w:tentative="1">
      <w:start w:val="1"/>
      <w:numFmt w:val="decimal"/>
      <w:lvlText w:val="%4."/>
      <w:lvlJc w:val="left"/>
      <w:pPr>
        <w:ind w:left="2864" w:hanging="360"/>
      </w:pPr>
    </w:lvl>
    <w:lvl w:ilvl="4" w:tplc="340A0019" w:tentative="1">
      <w:start w:val="1"/>
      <w:numFmt w:val="lowerLetter"/>
      <w:lvlText w:val="%5."/>
      <w:lvlJc w:val="left"/>
      <w:pPr>
        <w:ind w:left="3584" w:hanging="360"/>
      </w:pPr>
    </w:lvl>
    <w:lvl w:ilvl="5" w:tplc="340A001B" w:tentative="1">
      <w:start w:val="1"/>
      <w:numFmt w:val="lowerRoman"/>
      <w:lvlText w:val="%6."/>
      <w:lvlJc w:val="right"/>
      <w:pPr>
        <w:ind w:left="4304" w:hanging="180"/>
      </w:pPr>
    </w:lvl>
    <w:lvl w:ilvl="6" w:tplc="340A000F" w:tentative="1">
      <w:start w:val="1"/>
      <w:numFmt w:val="decimal"/>
      <w:lvlText w:val="%7."/>
      <w:lvlJc w:val="left"/>
      <w:pPr>
        <w:ind w:left="5024" w:hanging="360"/>
      </w:pPr>
    </w:lvl>
    <w:lvl w:ilvl="7" w:tplc="340A0019" w:tentative="1">
      <w:start w:val="1"/>
      <w:numFmt w:val="lowerLetter"/>
      <w:lvlText w:val="%8."/>
      <w:lvlJc w:val="left"/>
      <w:pPr>
        <w:ind w:left="5744" w:hanging="360"/>
      </w:pPr>
    </w:lvl>
    <w:lvl w:ilvl="8" w:tplc="340A001B" w:tentative="1">
      <w:start w:val="1"/>
      <w:numFmt w:val="lowerRoman"/>
      <w:lvlText w:val="%9."/>
      <w:lvlJc w:val="right"/>
      <w:pPr>
        <w:ind w:left="6464" w:hanging="180"/>
      </w:pPr>
    </w:lvl>
  </w:abstractNum>
  <w:abstractNum w:abstractNumId="3">
    <w:nsid w:val="57790F78"/>
    <w:multiLevelType w:val="multilevel"/>
    <w:tmpl w:val="40600842"/>
    <w:lvl w:ilvl="0">
      <w:start w:val="2"/>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63684F03"/>
    <w:multiLevelType w:val="multilevel"/>
    <w:tmpl w:val="25F0DC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666910A2"/>
    <w:multiLevelType w:val="hybridMultilevel"/>
    <w:tmpl w:val="8CCC03EE"/>
    <w:lvl w:ilvl="0" w:tplc="8B6299F4">
      <w:start w:val="1"/>
      <w:numFmt w:val="decimal"/>
      <w:lvlText w:val="%1."/>
      <w:lvlJc w:val="left"/>
      <w:pPr>
        <w:ind w:left="344"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68EF61AF"/>
    <w:multiLevelType w:val="hybridMultilevel"/>
    <w:tmpl w:val="CCE88DE8"/>
    <w:lvl w:ilvl="0" w:tplc="8B6299F4">
      <w:start w:val="1"/>
      <w:numFmt w:val="decimal"/>
      <w:lvlText w:val="%1."/>
      <w:lvlJc w:val="left"/>
      <w:pPr>
        <w:ind w:left="344" w:hanging="360"/>
      </w:pPr>
      <w:rPr>
        <w:rFonts w:hint="default"/>
      </w:rPr>
    </w:lvl>
    <w:lvl w:ilvl="1" w:tplc="340A0019" w:tentative="1">
      <w:start w:val="1"/>
      <w:numFmt w:val="lowerLetter"/>
      <w:lvlText w:val="%2."/>
      <w:lvlJc w:val="left"/>
      <w:pPr>
        <w:ind w:left="1064" w:hanging="360"/>
      </w:pPr>
    </w:lvl>
    <w:lvl w:ilvl="2" w:tplc="340A001B" w:tentative="1">
      <w:start w:val="1"/>
      <w:numFmt w:val="lowerRoman"/>
      <w:lvlText w:val="%3."/>
      <w:lvlJc w:val="right"/>
      <w:pPr>
        <w:ind w:left="1784" w:hanging="180"/>
      </w:pPr>
    </w:lvl>
    <w:lvl w:ilvl="3" w:tplc="340A000F" w:tentative="1">
      <w:start w:val="1"/>
      <w:numFmt w:val="decimal"/>
      <w:lvlText w:val="%4."/>
      <w:lvlJc w:val="left"/>
      <w:pPr>
        <w:ind w:left="2504" w:hanging="360"/>
      </w:pPr>
    </w:lvl>
    <w:lvl w:ilvl="4" w:tplc="340A0019" w:tentative="1">
      <w:start w:val="1"/>
      <w:numFmt w:val="lowerLetter"/>
      <w:lvlText w:val="%5."/>
      <w:lvlJc w:val="left"/>
      <w:pPr>
        <w:ind w:left="3224" w:hanging="360"/>
      </w:pPr>
    </w:lvl>
    <w:lvl w:ilvl="5" w:tplc="340A001B" w:tentative="1">
      <w:start w:val="1"/>
      <w:numFmt w:val="lowerRoman"/>
      <w:lvlText w:val="%6."/>
      <w:lvlJc w:val="right"/>
      <w:pPr>
        <w:ind w:left="3944" w:hanging="180"/>
      </w:pPr>
    </w:lvl>
    <w:lvl w:ilvl="6" w:tplc="340A000F" w:tentative="1">
      <w:start w:val="1"/>
      <w:numFmt w:val="decimal"/>
      <w:lvlText w:val="%7."/>
      <w:lvlJc w:val="left"/>
      <w:pPr>
        <w:ind w:left="4664" w:hanging="360"/>
      </w:pPr>
    </w:lvl>
    <w:lvl w:ilvl="7" w:tplc="340A0019" w:tentative="1">
      <w:start w:val="1"/>
      <w:numFmt w:val="lowerLetter"/>
      <w:lvlText w:val="%8."/>
      <w:lvlJc w:val="left"/>
      <w:pPr>
        <w:ind w:left="5384" w:hanging="360"/>
      </w:pPr>
    </w:lvl>
    <w:lvl w:ilvl="8" w:tplc="340A001B" w:tentative="1">
      <w:start w:val="1"/>
      <w:numFmt w:val="lowerRoman"/>
      <w:lvlText w:val="%9."/>
      <w:lvlJc w:val="right"/>
      <w:pPr>
        <w:ind w:left="6104" w:hanging="180"/>
      </w:pPr>
    </w:lvl>
  </w:abstractNum>
  <w:abstractNum w:abstractNumId="7">
    <w:nsid w:val="7775134F"/>
    <w:multiLevelType w:val="multilevel"/>
    <w:tmpl w:val="25F0DC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bordersDoNotSurroundHeader/>
  <w:bordersDoNotSurroundFooter/>
  <w:proofState w:spelling="clean" w:grammar="clean"/>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936"/>
    <w:rsid w:val="0000057B"/>
    <w:rsid w:val="00003CF2"/>
    <w:rsid w:val="0002139D"/>
    <w:rsid w:val="00026A5E"/>
    <w:rsid w:val="00031E70"/>
    <w:rsid w:val="00053DA1"/>
    <w:rsid w:val="00072874"/>
    <w:rsid w:val="00087A7E"/>
    <w:rsid w:val="000A40A1"/>
    <w:rsid w:val="000C71E1"/>
    <w:rsid w:val="000D18E6"/>
    <w:rsid w:val="000D5990"/>
    <w:rsid w:val="000F283F"/>
    <w:rsid w:val="000F6C5E"/>
    <w:rsid w:val="00103BA2"/>
    <w:rsid w:val="0012589F"/>
    <w:rsid w:val="00131F0A"/>
    <w:rsid w:val="001356CD"/>
    <w:rsid w:val="00143282"/>
    <w:rsid w:val="001603FB"/>
    <w:rsid w:val="001A6245"/>
    <w:rsid w:val="001C1E73"/>
    <w:rsid w:val="001D4AD7"/>
    <w:rsid w:val="001E2FB7"/>
    <w:rsid w:val="001F0284"/>
    <w:rsid w:val="00213233"/>
    <w:rsid w:val="00231552"/>
    <w:rsid w:val="00246FEC"/>
    <w:rsid w:val="00290820"/>
    <w:rsid w:val="002A033E"/>
    <w:rsid w:val="002E3042"/>
    <w:rsid w:val="002E43C1"/>
    <w:rsid w:val="002F17B6"/>
    <w:rsid w:val="002F3DB1"/>
    <w:rsid w:val="00315934"/>
    <w:rsid w:val="00323B93"/>
    <w:rsid w:val="003240AC"/>
    <w:rsid w:val="00331D0A"/>
    <w:rsid w:val="003518A2"/>
    <w:rsid w:val="00351CDC"/>
    <w:rsid w:val="003632EE"/>
    <w:rsid w:val="00367CD6"/>
    <w:rsid w:val="00373B07"/>
    <w:rsid w:val="003847E4"/>
    <w:rsid w:val="00387C7B"/>
    <w:rsid w:val="00394137"/>
    <w:rsid w:val="00396E08"/>
    <w:rsid w:val="003B5BFE"/>
    <w:rsid w:val="003D5839"/>
    <w:rsid w:val="003D7230"/>
    <w:rsid w:val="003E4B6F"/>
    <w:rsid w:val="0041049C"/>
    <w:rsid w:val="00420D31"/>
    <w:rsid w:val="00440F84"/>
    <w:rsid w:val="00444D56"/>
    <w:rsid w:val="00462DBA"/>
    <w:rsid w:val="00466682"/>
    <w:rsid w:val="004700A0"/>
    <w:rsid w:val="00483258"/>
    <w:rsid w:val="00483E63"/>
    <w:rsid w:val="0049257F"/>
    <w:rsid w:val="004A3EE7"/>
    <w:rsid w:val="004B7521"/>
    <w:rsid w:val="004C59F6"/>
    <w:rsid w:val="004E2AE0"/>
    <w:rsid w:val="00500F77"/>
    <w:rsid w:val="00521547"/>
    <w:rsid w:val="00541B7E"/>
    <w:rsid w:val="00544760"/>
    <w:rsid w:val="00551E18"/>
    <w:rsid w:val="0056546D"/>
    <w:rsid w:val="0058159B"/>
    <w:rsid w:val="00585F23"/>
    <w:rsid w:val="00586868"/>
    <w:rsid w:val="00587DF6"/>
    <w:rsid w:val="0059679B"/>
    <w:rsid w:val="00596936"/>
    <w:rsid w:val="005C4149"/>
    <w:rsid w:val="00604DFA"/>
    <w:rsid w:val="00612443"/>
    <w:rsid w:val="00612D21"/>
    <w:rsid w:val="00630903"/>
    <w:rsid w:val="00647B83"/>
    <w:rsid w:val="00650910"/>
    <w:rsid w:val="00664670"/>
    <w:rsid w:val="00666C77"/>
    <w:rsid w:val="006859A5"/>
    <w:rsid w:val="006950B1"/>
    <w:rsid w:val="006A0624"/>
    <w:rsid w:val="006A7BDE"/>
    <w:rsid w:val="006B2E2C"/>
    <w:rsid w:val="006E6897"/>
    <w:rsid w:val="006F1172"/>
    <w:rsid w:val="006F3EB8"/>
    <w:rsid w:val="006F598A"/>
    <w:rsid w:val="00703DB5"/>
    <w:rsid w:val="0072263D"/>
    <w:rsid w:val="00723172"/>
    <w:rsid w:val="00723FF6"/>
    <w:rsid w:val="00731285"/>
    <w:rsid w:val="00747C08"/>
    <w:rsid w:val="00760193"/>
    <w:rsid w:val="00783812"/>
    <w:rsid w:val="00786816"/>
    <w:rsid w:val="007B1689"/>
    <w:rsid w:val="007C43CB"/>
    <w:rsid w:val="007D536C"/>
    <w:rsid w:val="007D5E9A"/>
    <w:rsid w:val="007E07EA"/>
    <w:rsid w:val="008048C8"/>
    <w:rsid w:val="0081274D"/>
    <w:rsid w:val="008352B0"/>
    <w:rsid w:val="008458E8"/>
    <w:rsid w:val="00851F29"/>
    <w:rsid w:val="008561B0"/>
    <w:rsid w:val="00864283"/>
    <w:rsid w:val="0086735E"/>
    <w:rsid w:val="00895144"/>
    <w:rsid w:val="008B2984"/>
    <w:rsid w:val="008B51C4"/>
    <w:rsid w:val="00924125"/>
    <w:rsid w:val="00930018"/>
    <w:rsid w:val="00933EB0"/>
    <w:rsid w:val="009418A9"/>
    <w:rsid w:val="009469C5"/>
    <w:rsid w:val="009479B9"/>
    <w:rsid w:val="0095219B"/>
    <w:rsid w:val="009562E2"/>
    <w:rsid w:val="00976F5A"/>
    <w:rsid w:val="009D7902"/>
    <w:rsid w:val="009E0AC8"/>
    <w:rsid w:val="009E53B5"/>
    <w:rsid w:val="009E5AC3"/>
    <w:rsid w:val="00A13F1C"/>
    <w:rsid w:val="00A17EDC"/>
    <w:rsid w:val="00A429B8"/>
    <w:rsid w:val="00A50BBC"/>
    <w:rsid w:val="00A54A76"/>
    <w:rsid w:val="00A60AA3"/>
    <w:rsid w:val="00A731D1"/>
    <w:rsid w:val="00A77EFC"/>
    <w:rsid w:val="00AA7843"/>
    <w:rsid w:val="00AC17FA"/>
    <w:rsid w:val="00AC2B54"/>
    <w:rsid w:val="00AD50C1"/>
    <w:rsid w:val="00AD6C0C"/>
    <w:rsid w:val="00B04210"/>
    <w:rsid w:val="00B27700"/>
    <w:rsid w:val="00B535CF"/>
    <w:rsid w:val="00B5495F"/>
    <w:rsid w:val="00B60FFC"/>
    <w:rsid w:val="00B67AF3"/>
    <w:rsid w:val="00B76EA2"/>
    <w:rsid w:val="00B87B1C"/>
    <w:rsid w:val="00B9068F"/>
    <w:rsid w:val="00BA6716"/>
    <w:rsid w:val="00BB57A2"/>
    <w:rsid w:val="00BB7487"/>
    <w:rsid w:val="00BD1DBD"/>
    <w:rsid w:val="00BD59ED"/>
    <w:rsid w:val="00BE44D8"/>
    <w:rsid w:val="00C12B0E"/>
    <w:rsid w:val="00C144F6"/>
    <w:rsid w:val="00C24BC4"/>
    <w:rsid w:val="00C26285"/>
    <w:rsid w:val="00C3302F"/>
    <w:rsid w:val="00C35E8E"/>
    <w:rsid w:val="00C42EE9"/>
    <w:rsid w:val="00C47A58"/>
    <w:rsid w:val="00C50A39"/>
    <w:rsid w:val="00C66A1A"/>
    <w:rsid w:val="00C83B2D"/>
    <w:rsid w:val="00C96E15"/>
    <w:rsid w:val="00CA386A"/>
    <w:rsid w:val="00CC07C7"/>
    <w:rsid w:val="00CE7857"/>
    <w:rsid w:val="00CF5140"/>
    <w:rsid w:val="00CF7470"/>
    <w:rsid w:val="00D014BC"/>
    <w:rsid w:val="00D0460B"/>
    <w:rsid w:val="00D105D3"/>
    <w:rsid w:val="00D12D82"/>
    <w:rsid w:val="00D174C9"/>
    <w:rsid w:val="00D25185"/>
    <w:rsid w:val="00D418A3"/>
    <w:rsid w:val="00D473C4"/>
    <w:rsid w:val="00D5164E"/>
    <w:rsid w:val="00D67271"/>
    <w:rsid w:val="00D81440"/>
    <w:rsid w:val="00D848D7"/>
    <w:rsid w:val="00DA0988"/>
    <w:rsid w:val="00DA5EC2"/>
    <w:rsid w:val="00DB2BDD"/>
    <w:rsid w:val="00DB7CE8"/>
    <w:rsid w:val="00DE6F14"/>
    <w:rsid w:val="00E327EA"/>
    <w:rsid w:val="00E32A1F"/>
    <w:rsid w:val="00E46FAF"/>
    <w:rsid w:val="00E7194A"/>
    <w:rsid w:val="00E73931"/>
    <w:rsid w:val="00E7603C"/>
    <w:rsid w:val="00E95F8B"/>
    <w:rsid w:val="00EB1234"/>
    <w:rsid w:val="00EB4BF2"/>
    <w:rsid w:val="00ED3F99"/>
    <w:rsid w:val="00EF0CDD"/>
    <w:rsid w:val="00F27E57"/>
    <w:rsid w:val="00F400D0"/>
    <w:rsid w:val="00F4253B"/>
    <w:rsid w:val="00F44997"/>
    <w:rsid w:val="00F44DD7"/>
    <w:rsid w:val="00F56EA8"/>
    <w:rsid w:val="00F63BBE"/>
    <w:rsid w:val="00F815ED"/>
    <w:rsid w:val="00F911CE"/>
    <w:rsid w:val="00F92B7C"/>
    <w:rsid w:val="00FA21A3"/>
    <w:rsid w:val="00FC063B"/>
    <w:rsid w:val="00FC2B89"/>
    <w:rsid w:val="00FC59FA"/>
    <w:rsid w:val="00FD6C70"/>
    <w:rsid w:val="00FF1969"/>
    <w:rsid w:val="00FF2F5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67271"/>
    <w:pPr>
      <w:autoSpaceDE w:val="0"/>
      <w:autoSpaceDN w:val="0"/>
      <w:adjustRightInd w:val="0"/>
      <w:spacing w:after="0" w:line="240" w:lineRule="auto"/>
      <w:jc w:val="both"/>
    </w:pPr>
    <w:rPr>
      <w:rFonts w:ascii="Times New Roman" w:hAnsi="Times New Roman" w:cs="Times New Roman"/>
      <w:noProof/>
      <w:sz w:val="20"/>
      <w:szCs w:val="20"/>
    </w:rPr>
  </w:style>
  <w:style w:type="paragraph" w:styleId="Ttulo1">
    <w:name w:val="heading 1"/>
    <w:basedOn w:val="Normal"/>
    <w:next w:val="Normal"/>
    <w:link w:val="Ttulo1Car"/>
    <w:uiPriority w:val="99"/>
    <w:qFormat/>
    <w:rsid w:val="00D67271"/>
    <w:pPr>
      <w:keepNext/>
      <w:widowControl w:val="0"/>
      <w:spacing w:before="240" w:after="120"/>
      <w:jc w:val="left"/>
      <w:outlineLvl w:val="0"/>
    </w:pPr>
    <w:rPr>
      <w:b/>
      <w:bCs/>
      <w:sz w:val="40"/>
      <w:szCs w:val="40"/>
    </w:rPr>
  </w:style>
  <w:style w:type="paragraph" w:styleId="Ttulo2">
    <w:name w:val="heading 2"/>
    <w:basedOn w:val="Normal"/>
    <w:next w:val="Normal"/>
    <w:link w:val="Ttulo2Car"/>
    <w:uiPriority w:val="99"/>
    <w:qFormat/>
    <w:rsid w:val="00D67271"/>
    <w:pPr>
      <w:keepNext/>
      <w:widowControl w:val="0"/>
      <w:spacing w:before="240" w:after="120"/>
      <w:jc w:val="left"/>
      <w:outlineLvl w:val="1"/>
    </w:pPr>
    <w:rPr>
      <w:b/>
      <w:bCs/>
      <w:sz w:val="32"/>
      <w:szCs w:val="32"/>
    </w:rPr>
  </w:style>
  <w:style w:type="paragraph" w:styleId="Ttulo3">
    <w:name w:val="heading 3"/>
    <w:basedOn w:val="Normal"/>
    <w:next w:val="Normal"/>
    <w:link w:val="Ttulo3Car"/>
    <w:uiPriority w:val="99"/>
    <w:qFormat/>
    <w:rsid w:val="00D67271"/>
    <w:pPr>
      <w:keepNext/>
      <w:widowControl w:val="0"/>
      <w:spacing w:before="240" w:after="120"/>
      <w:jc w:val="left"/>
      <w:outlineLvl w:val="2"/>
    </w:pPr>
    <w:rPr>
      <w:b/>
      <w:bCs/>
      <w:sz w:val="32"/>
      <w:szCs w:val="32"/>
    </w:rPr>
  </w:style>
  <w:style w:type="paragraph" w:styleId="Ttulo4">
    <w:name w:val="heading 4"/>
    <w:basedOn w:val="Normal"/>
    <w:next w:val="Normal"/>
    <w:link w:val="Ttulo4Car"/>
    <w:uiPriority w:val="99"/>
    <w:qFormat/>
    <w:rsid w:val="00D67271"/>
    <w:pPr>
      <w:keepNext/>
      <w:widowControl w:val="0"/>
      <w:spacing w:before="240" w:after="120"/>
      <w:jc w:val="left"/>
      <w:outlineLvl w:val="3"/>
    </w:pPr>
    <w:rPr>
      <w:b/>
      <w:bCs/>
      <w:sz w:val="24"/>
      <w:szCs w:val="24"/>
    </w:rPr>
  </w:style>
  <w:style w:type="paragraph" w:styleId="Ttulo5">
    <w:name w:val="heading 5"/>
    <w:basedOn w:val="Normal"/>
    <w:next w:val="Normal"/>
    <w:link w:val="Ttulo5Car"/>
    <w:uiPriority w:val="99"/>
    <w:qFormat/>
    <w:rsid w:val="00D67271"/>
    <w:pPr>
      <w:keepNext/>
      <w:widowControl w:val="0"/>
      <w:spacing w:before="240" w:after="120"/>
      <w:jc w:val="left"/>
      <w:outlineLvl w:val="4"/>
    </w:pPr>
    <w:rPr>
      <w:b/>
      <w:bCs/>
      <w:sz w:val="24"/>
      <w:szCs w:val="24"/>
    </w:rPr>
  </w:style>
  <w:style w:type="paragraph" w:styleId="Ttulo6">
    <w:name w:val="heading 6"/>
    <w:basedOn w:val="Normal"/>
    <w:next w:val="Normal"/>
    <w:link w:val="Ttulo6Car"/>
    <w:uiPriority w:val="99"/>
    <w:qFormat/>
    <w:rsid w:val="00D67271"/>
    <w:pPr>
      <w:keepNext/>
      <w:widowControl w:val="0"/>
      <w:spacing w:before="240" w:after="120"/>
      <w:jc w:val="left"/>
      <w:outlineLvl w:val="5"/>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t">
    <w:name w:val="Part"/>
    <w:basedOn w:val="Normal"/>
    <w:next w:val="Normal"/>
    <w:uiPriority w:val="99"/>
    <w:rsid w:val="00D67271"/>
    <w:pPr>
      <w:keepNext/>
      <w:widowControl w:val="0"/>
      <w:spacing w:before="240" w:after="120"/>
      <w:jc w:val="center"/>
    </w:pPr>
    <w:rPr>
      <w:b/>
      <w:bCs/>
      <w:sz w:val="40"/>
      <w:szCs w:val="40"/>
    </w:rPr>
  </w:style>
  <w:style w:type="character" w:customStyle="1" w:styleId="Ttulo1Car">
    <w:name w:val="Título 1 Car"/>
    <w:basedOn w:val="Fuentedeprrafopredeter"/>
    <w:link w:val="Ttulo1"/>
    <w:uiPriority w:val="9"/>
    <w:rsid w:val="00D67271"/>
    <w:rPr>
      <w:rFonts w:asciiTheme="majorHAnsi" w:eastAsiaTheme="majorEastAsia" w:hAnsiTheme="majorHAnsi" w:cstheme="majorBidi"/>
      <w:b/>
      <w:bCs/>
      <w:noProof/>
      <w:kern w:val="32"/>
      <w:sz w:val="32"/>
      <w:szCs w:val="32"/>
    </w:rPr>
  </w:style>
  <w:style w:type="character" w:customStyle="1" w:styleId="Ttulo2Car">
    <w:name w:val="Título 2 Car"/>
    <w:basedOn w:val="Fuentedeprrafopredeter"/>
    <w:link w:val="Ttulo2"/>
    <w:uiPriority w:val="9"/>
    <w:semiHidden/>
    <w:rsid w:val="00D67271"/>
    <w:rPr>
      <w:rFonts w:asciiTheme="majorHAnsi" w:eastAsiaTheme="majorEastAsia" w:hAnsiTheme="majorHAnsi" w:cstheme="majorBidi"/>
      <w:b/>
      <w:bCs/>
      <w:i/>
      <w:iCs/>
      <w:noProof/>
      <w:sz w:val="28"/>
      <w:szCs w:val="28"/>
    </w:rPr>
  </w:style>
  <w:style w:type="character" w:customStyle="1" w:styleId="Ttulo3Car">
    <w:name w:val="Título 3 Car"/>
    <w:basedOn w:val="Fuentedeprrafopredeter"/>
    <w:link w:val="Ttulo3"/>
    <w:uiPriority w:val="9"/>
    <w:semiHidden/>
    <w:rsid w:val="00D67271"/>
    <w:rPr>
      <w:rFonts w:asciiTheme="majorHAnsi" w:eastAsiaTheme="majorEastAsia" w:hAnsiTheme="majorHAnsi" w:cstheme="majorBidi"/>
      <w:b/>
      <w:bCs/>
      <w:noProof/>
      <w:sz w:val="26"/>
      <w:szCs w:val="26"/>
    </w:rPr>
  </w:style>
  <w:style w:type="character" w:customStyle="1" w:styleId="Ttulo4Car">
    <w:name w:val="Título 4 Car"/>
    <w:basedOn w:val="Fuentedeprrafopredeter"/>
    <w:link w:val="Ttulo4"/>
    <w:uiPriority w:val="9"/>
    <w:semiHidden/>
    <w:rsid w:val="00D67271"/>
    <w:rPr>
      <w:b/>
      <w:bCs/>
      <w:noProof/>
      <w:sz w:val="28"/>
      <w:szCs w:val="28"/>
    </w:rPr>
  </w:style>
  <w:style w:type="character" w:customStyle="1" w:styleId="Ttulo5Car">
    <w:name w:val="Título 5 Car"/>
    <w:basedOn w:val="Fuentedeprrafopredeter"/>
    <w:link w:val="Ttulo5"/>
    <w:uiPriority w:val="9"/>
    <w:semiHidden/>
    <w:rsid w:val="00D67271"/>
    <w:rPr>
      <w:b/>
      <w:bCs/>
      <w:i/>
      <w:iCs/>
      <w:noProof/>
      <w:sz w:val="26"/>
      <w:szCs w:val="26"/>
    </w:rPr>
  </w:style>
  <w:style w:type="character" w:customStyle="1" w:styleId="Ttulo6Car">
    <w:name w:val="Título 6 Car"/>
    <w:basedOn w:val="Fuentedeprrafopredeter"/>
    <w:link w:val="Ttulo6"/>
    <w:uiPriority w:val="9"/>
    <w:semiHidden/>
    <w:rsid w:val="00D67271"/>
    <w:rPr>
      <w:b/>
      <w:bCs/>
      <w:noProof/>
    </w:rPr>
  </w:style>
  <w:style w:type="paragraph" w:customStyle="1" w:styleId="rightpar">
    <w:name w:val="rightpar"/>
    <w:basedOn w:val="Normal"/>
    <w:uiPriority w:val="99"/>
    <w:rsid w:val="00D67271"/>
    <w:pPr>
      <w:keepLines/>
      <w:spacing w:before="120" w:after="120"/>
      <w:jc w:val="right"/>
    </w:pPr>
    <w:rPr>
      <w:sz w:val="24"/>
      <w:szCs w:val="24"/>
    </w:rPr>
  </w:style>
  <w:style w:type="paragraph" w:customStyle="1" w:styleId="centerpar">
    <w:name w:val="centerpar"/>
    <w:basedOn w:val="Normal"/>
    <w:uiPriority w:val="99"/>
    <w:rsid w:val="00D67271"/>
    <w:pPr>
      <w:keepLines/>
      <w:spacing w:before="120" w:after="120"/>
      <w:jc w:val="center"/>
    </w:pPr>
    <w:rPr>
      <w:sz w:val="24"/>
      <w:szCs w:val="24"/>
    </w:rPr>
  </w:style>
  <w:style w:type="paragraph" w:customStyle="1" w:styleId="equation">
    <w:name w:val="equation"/>
    <w:basedOn w:val="Normal"/>
    <w:next w:val="Normal"/>
    <w:uiPriority w:val="99"/>
    <w:rsid w:val="00D67271"/>
    <w:pPr>
      <w:keepLines/>
      <w:spacing w:before="120" w:after="120"/>
      <w:jc w:val="left"/>
    </w:pPr>
    <w:rPr>
      <w:sz w:val="24"/>
      <w:szCs w:val="24"/>
    </w:rPr>
  </w:style>
  <w:style w:type="paragraph" w:customStyle="1" w:styleId="equationNum">
    <w:name w:val="equationNum"/>
    <w:basedOn w:val="Normal"/>
    <w:next w:val="Normal"/>
    <w:uiPriority w:val="99"/>
    <w:rsid w:val="00D67271"/>
    <w:pPr>
      <w:keepLines/>
      <w:spacing w:before="120" w:after="120"/>
      <w:jc w:val="left"/>
    </w:pPr>
    <w:rPr>
      <w:sz w:val="24"/>
      <w:szCs w:val="24"/>
    </w:rPr>
  </w:style>
  <w:style w:type="paragraph" w:customStyle="1" w:styleId="equationAlign">
    <w:name w:val="equationAlign"/>
    <w:basedOn w:val="Normal"/>
    <w:next w:val="Normal"/>
    <w:uiPriority w:val="99"/>
    <w:rsid w:val="00D67271"/>
    <w:pPr>
      <w:keepLines/>
      <w:spacing w:before="120" w:after="120"/>
      <w:jc w:val="left"/>
    </w:pPr>
    <w:rPr>
      <w:sz w:val="24"/>
      <w:szCs w:val="24"/>
    </w:rPr>
  </w:style>
  <w:style w:type="paragraph" w:customStyle="1" w:styleId="equationAlignNum">
    <w:name w:val="equationAlignNum"/>
    <w:basedOn w:val="Normal"/>
    <w:next w:val="Normal"/>
    <w:uiPriority w:val="99"/>
    <w:rsid w:val="00D67271"/>
    <w:pPr>
      <w:keepLines/>
      <w:spacing w:before="120" w:after="120"/>
      <w:jc w:val="left"/>
    </w:pPr>
    <w:rPr>
      <w:sz w:val="24"/>
      <w:szCs w:val="24"/>
    </w:rPr>
  </w:style>
  <w:style w:type="paragraph" w:customStyle="1" w:styleId="equationArray">
    <w:name w:val="equationArray"/>
    <w:basedOn w:val="Normal"/>
    <w:next w:val="Normal"/>
    <w:uiPriority w:val="99"/>
    <w:rsid w:val="00D67271"/>
    <w:pPr>
      <w:keepLines/>
      <w:spacing w:before="120" w:after="120"/>
      <w:jc w:val="left"/>
    </w:pPr>
    <w:rPr>
      <w:sz w:val="24"/>
      <w:szCs w:val="24"/>
    </w:rPr>
  </w:style>
  <w:style w:type="paragraph" w:customStyle="1" w:styleId="equationArrayNum">
    <w:name w:val="equationArrayNum"/>
    <w:basedOn w:val="Normal"/>
    <w:next w:val="Normal"/>
    <w:uiPriority w:val="99"/>
    <w:rsid w:val="00D67271"/>
    <w:pPr>
      <w:keepLines/>
      <w:spacing w:before="120" w:after="120"/>
      <w:jc w:val="left"/>
    </w:pPr>
    <w:rPr>
      <w:sz w:val="24"/>
      <w:szCs w:val="24"/>
    </w:rPr>
  </w:style>
  <w:style w:type="paragraph" w:customStyle="1" w:styleId="theorem">
    <w:name w:val="theorem"/>
    <w:basedOn w:val="Normal"/>
    <w:next w:val="Normal"/>
    <w:uiPriority w:val="99"/>
    <w:rsid w:val="00D67271"/>
    <w:pPr>
      <w:keepLines/>
      <w:spacing w:before="120" w:after="120"/>
      <w:jc w:val="left"/>
    </w:pPr>
  </w:style>
  <w:style w:type="paragraph" w:customStyle="1" w:styleId="bitmapCenter">
    <w:name w:val="bitmapCenter"/>
    <w:basedOn w:val="Normal"/>
    <w:next w:val="Normal"/>
    <w:uiPriority w:val="99"/>
    <w:rsid w:val="00D67271"/>
    <w:pPr>
      <w:keepLines/>
      <w:spacing w:before="120" w:after="120"/>
      <w:jc w:val="left"/>
    </w:pPr>
    <w:rPr>
      <w:sz w:val="24"/>
      <w:szCs w:val="24"/>
    </w:rPr>
  </w:style>
  <w:style w:type="paragraph" w:styleId="Ttulo">
    <w:name w:val="Title"/>
    <w:basedOn w:val="Normal"/>
    <w:next w:val="author"/>
    <w:link w:val="TtuloCar"/>
    <w:uiPriority w:val="99"/>
    <w:qFormat/>
    <w:rsid w:val="00D67271"/>
    <w:pPr>
      <w:widowControl w:val="0"/>
      <w:spacing w:before="240" w:after="240"/>
      <w:jc w:val="center"/>
    </w:pPr>
    <w:rPr>
      <w:b/>
      <w:bCs/>
      <w:sz w:val="36"/>
      <w:szCs w:val="36"/>
    </w:rPr>
  </w:style>
  <w:style w:type="character" w:customStyle="1" w:styleId="TtuloCar">
    <w:name w:val="Título Car"/>
    <w:basedOn w:val="Fuentedeprrafopredeter"/>
    <w:link w:val="Ttulo"/>
    <w:uiPriority w:val="10"/>
    <w:rsid w:val="00D67271"/>
    <w:rPr>
      <w:rFonts w:asciiTheme="majorHAnsi" w:eastAsiaTheme="majorEastAsia" w:hAnsiTheme="majorHAnsi" w:cstheme="majorBidi"/>
      <w:b/>
      <w:bCs/>
      <w:noProof/>
      <w:kern w:val="28"/>
      <w:sz w:val="32"/>
      <w:szCs w:val="32"/>
    </w:rPr>
  </w:style>
  <w:style w:type="paragraph" w:customStyle="1" w:styleId="author">
    <w:name w:val="author"/>
    <w:basedOn w:val="Normal"/>
    <w:next w:val="Normal"/>
    <w:uiPriority w:val="99"/>
    <w:rsid w:val="00D67271"/>
    <w:pPr>
      <w:widowControl w:val="0"/>
      <w:spacing w:after="120"/>
      <w:jc w:val="center"/>
    </w:pPr>
  </w:style>
  <w:style w:type="paragraph" w:styleId="Piedepgina">
    <w:name w:val="footer"/>
    <w:basedOn w:val="Normal"/>
    <w:link w:val="PiedepginaCar"/>
    <w:uiPriority w:val="99"/>
    <w:rsid w:val="00D67271"/>
    <w:pPr>
      <w:widowControl w:val="0"/>
      <w:tabs>
        <w:tab w:val="center" w:pos="4536"/>
        <w:tab w:val="right" w:pos="9072"/>
      </w:tabs>
      <w:jc w:val="left"/>
    </w:pPr>
  </w:style>
  <w:style w:type="character" w:customStyle="1" w:styleId="PiedepginaCar">
    <w:name w:val="Pie de página Car"/>
    <w:basedOn w:val="Fuentedeprrafopredeter"/>
    <w:link w:val="Piedepgina"/>
    <w:uiPriority w:val="99"/>
    <w:semiHidden/>
    <w:rsid w:val="00D67271"/>
    <w:rPr>
      <w:rFonts w:ascii="Times New Roman" w:hAnsi="Times New Roman" w:cs="Times New Roman"/>
      <w:noProof/>
      <w:sz w:val="20"/>
      <w:szCs w:val="20"/>
    </w:rPr>
  </w:style>
  <w:style w:type="paragraph" w:styleId="Encabezado">
    <w:name w:val="header"/>
    <w:basedOn w:val="Normal"/>
    <w:link w:val="EncabezadoCar"/>
    <w:uiPriority w:val="99"/>
    <w:rsid w:val="00D67271"/>
    <w:pPr>
      <w:widowControl w:val="0"/>
      <w:tabs>
        <w:tab w:val="center" w:pos="4536"/>
        <w:tab w:val="right" w:pos="9072"/>
      </w:tabs>
      <w:jc w:val="left"/>
    </w:pPr>
  </w:style>
  <w:style w:type="character" w:customStyle="1" w:styleId="EncabezadoCar">
    <w:name w:val="Encabezado Car"/>
    <w:basedOn w:val="Fuentedeprrafopredeter"/>
    <w:link w:val="Encabezado"/>
    <w:uiPriority w:val="99"/>
    <w:semiHidden/>
    <w:rsid w:val="00D67271"/>
    <w:rPr>
      <w:rFonts w:ascii="Times New Roman" w:hAnsi="Times New Roman" w:cs="Times New Roman"/>
      <w:noProof/>
      <w:sz w:val="20"/>
      <w:szCs w:val="20"/>
    </w:rPr>
  </w:style>
  <w:style w:type="paragraph" w:styleId="Epgrafe">
    <w:name w:val="caption"/>
    <w:basedOn w:val="Normal"/>
    <w:next w:val="Normal"/>
    <w:uiPriority w:val="99"/>
    <w:qFormat/>
    <w:rsid w:val="00D67271"/>
    <w:pPr>
      <w:keepLines/>
      <w:spacing w:before="120" w:after="120"/>
      <w:jc w:val="left"/>
    </w:pPr>
    <w:rPr>
      <w:sz w:val="24"/>
      <w:szCs w:val="24"/>
    </w:rPr>
  </w:style>
  <w:style w:type="paragraph" w:customStyle="1" w:styleId="Figure">
    <w:name w:val="Figure"/>
    <w:basedOn w:val="Normal"/>
    <w:next w:val="Normal"/>
    <w:uiPriority w:val="99"/>
    <w:rsid w:val="00D67271"/>
    <w:pPr>
      <w:keepLines/>
      <w:spacing w:before="120"/>
      <w:jc w:val="center"/>
    </w:pPr>
  </w:style>
  <w:style w:type="paragraph" w:customStyle="1" w:styleId="Table">
    <w:name w:val="Table"/>
    <w:basedOn w:val="Normal"/>
    <w:uiPriority w:val="99"/>
    <w:rsid w:val="00D67271"/>
    <w:pPr>
      <w:keepLines/>
      <w:spacing w:before="120"/>
      <w:jc w:val="center"/>
    </w:pPr>
  </w:style>
  <w:style w:type="paragraph" w:customStyle="1" w:styleId="Tabular">
    <w:name w:val="Tabular"/>
    <w:basedOn w:val="Normal"/>
    <w:uiPriority w:val="99"/>
    <w:rsid w:val="00D67271"/>
    <w:pPr>
      <w:keepLines/>
      <w:spacing w:before="120"/>
      <w:jc w:val="center"/>
    </w:pPr>
  </w:style>
  <w:style w:type="paragraph" w:customStyle="1" w:styleId="Tabbing">
    <w:name w:val="Tabbing"/>
    <w:basedOn w:val="Normal"/>
    <w:uiPriority w:val="99"/>
    <w:rsid w:val="00D67271"/>
    <w:pPr>
      <w:keepLines/>
      <w:spacing w:before="120"/>
      <w:jc w:val="center"/>
    </w:pPr>
  </w:style>
  <w:style w:type="paragraph" w:styleId="Cita">
    <w:name w:val="Quote"/>
    <w:basedOn w:val="Normal"/>
    <w:link w:val="CitaCar"/>
    <w:uiPriority w:val="99"/>
    <w:qFormat/>
    <w:rsid w:val="00D67271"/>
    <w:pPr>
      <w:ind w:left="1024" w:right="1024" w:firstLine="340"/>
    </w:pPr>
  </w:style>
  <w:style w:type="character" w:customStyle="1" w:styleId="CitaCar">
    <w:name w:val="Cita Car"/>
    <w:basedOn w:val="Fuentedeprrafopredeter"/>
    <w:link w:val="Cita"/>
    <w:uiPriority w:val="29"/>
    <w:rsid w:val="00D67271"/>
    <w:rPr>
      <w:rFonts w:ascii="Times New Roman" w:hAnsi="Times New Roman" w:cs="Times New Roman"/>
      <w:i/>
      <w:iCs/>
      <w:noProof/>
      <w:color w:val="000000" w:themeColor="text1"/>
      <w:sz w:val="20"/>
      <w:szCs w:val="20"/>
    </w:rPr>
  </w:style>
  <w:style w:type="paragraph" w:customStyle="1" w:styleId="verbatim">
    <w:name w:val="verbatim"/>
    <w:uiPriority w:val="99"/>
    <w:rsid w:val="00D67271"/>
    <w:pPr>
      <w:autoSpaceDE w:val="0"/>
      <w:autoSpaceDN w:val="0"/>
      <w:adjustRightInd w:val="0"/>
      <w:spacing w:after="0" w:line="240" w:lineRule="auto"/>
    </w:pPr>
    <w:rPr>
      <w:rFonts w:ascii="Courier New" w:hAnsi="Courier New" w:cs="Courier New"/>
      <w:noProof/>
      <w:sz w:val="20"/>
      <w:szCs w:val="20"/>
    </w:rPr>
  </w:style>
  <w:style w:type="paragraph" w:styleId="Lista">
    <w:name w:val="List"/>
    <w:basedOn w:val="Normal"/>
    <w:uiPriority w:val="99"/>
    <w:rsid w:val="00D67271"/>
    <w:pPr>
      <w:tabs>
        <w:tab w:val="left" w:pos="283"/>
      </w:tabs>
      <w:spacing w:after="120"/>
      <w:ind w:left="283" w:hanging="283"/>
      <w:jc w:val="left"/>
    </w:pPr>
  </w:style>
  <w:style w:type="paragraph" w:customStyle="1" w:styleId="List1">
    <w:name w:val="List 1"/>
    <w:basedOn w:val="Normal"/>
    <w:uiPriority w:val="99"/>
    <w:rsid w:val="00D67271"/>
    <w:pPr>
      <w:tabs>
        <w:tab w:val="left" w:pos="283"/>
      </w:tabs>
      <w:spacing w:after="120"/>
      <w:ind w:left="283" w:hanging="283"/>
      <w:jc w:val="left"/>
    </w:pPr>
  </w:style>
  <w:style w:type="paragraph" w:customStyle="1" w:styleId="latexpicture">
    <w:name w:val="latex picture"/>
    <w:basedOn w:val="Normal"/>
    <w:next w:val="Normal"/>
    <w:uiPriority w:val="99"/>
    <w:rsid w:val="00D67271"/>
    <w:pPr>
      <w:keepLines/>
      <w:spacing w:before="120" w:after="120"/>
      <w:jc w:val="center"/>
    </w:pPr>
    <w:rPr>
      <w:sz w:val="24"/>
      <w:szCs w:val="24"/>
    </w:rPr>
  </w:style>
  <w:style w:type="paragraph" w:customStyle="1" w:styleId="subfigure">
    <w:name w:val="subfigure"/>
    <w:basedOn w:val="Normal"/>
    <w:next w:val="Normal"/>
    <w:uiPriority w:val="99"/>
    <w:rsid w:val="00D67271"/>
    <w:pPr>
      <w:keepLines/>
      <w:spacing w:before="120" w:after="120"/>
      <w:jc w:val="center"/>
    </w:pPr>
    <w:rPr>
      <w:sz w:val="24"/>
      <w:szCs w:val="24"/>
    </w:rPr>
  </w:style>
  <w:style w:type="paragraph" w:customStyle="1" w:styleId="bibheading">
    <w:name w:val="bibheading"/>
    <w:basedOn w:val="Normal"/>
    <w:next w:val="bibitem"/>
    <w:uiPriority w:val="99"/>
    <w:rsid w:val="00D67271"/>
    <w:pPr>
      <w:keepNext/>
      <w:widowControl w:val="0"/>
      <w:spacing w:before="240" w:after="120"/>
      <w:jc w:val="left"/>
    </w:pPr>
    <w:rPr>
      <w:b/>
      <w:bCs/>
      <w:sz w:val="32"/>
      <w:szCs w:val="32"/>
    </w:rPr>
  </w:style>
  <w:style w:type="paragraph" w:customStyle="1" w:styleId="bibitem">
    <w:name w:val="bibitem"/>
    <w:basedOn w:val="Normal"/>
    <w:uiPriority w:val="99"/>
    <w:rsid w:val="00D67271"/>
    <w:pPr>
      <w:widowControl w:val="0"/>
      <w:ind w:left="567" w:hanging="567"/>
      <w:jc w:val="left"/>
    </w:pPr>
  </w:style>
  <w:style w:type="paragraph" w:customStyle="1" w:styleId="endnotes">
    <w:name w:val="endnotes"/>
    <w:basedOn w:val="Normal"/>
    <w:uiPriority w:val="99"/>
    <w:rsid w:val="00D67271"/>
    <w:pPr>
      <w:tabs>
        <w:tab w:val="left" w:pos="283"/>
      </w:tabs>
      <w:spacing w:after="120"/>
      <w:ind w:left="283" w:hanging="283"/>
      <w:jc w:val="left"/>
    </w:pPr>
  </w:style>
  <w:style w:type="paragraph" w:styleId="Textonotapie">
    <w:name w:val="footnote text"/>
    <w:aliases w:val="Footnote Text Char"/>
    <w:basedOn w:val="Normal"/>
    <w:link w:val="TextonotapieCar"/>
    <w:uiPriority w:val="99"/>
    <w:rsid w:val="00D67271"/>
    <w:pPr>
      <w:widowControl w:val="0"/>
      <w:ind w:left="397" w:hanging="113"/>
      <w:jc w:val="left"/>
    </w:pPr>
  </w:style>
  <w:style w:type="character" w:customStyle="1" w:styleId="TextonotapieCar">
    <w:name w:val="Texto nota pie Car"/>
    <w:aliases w:val="Footnote Text Char Car"/>
    <w:basedOn w:val="Fuentedeprrafopredeter"/>
    <w:link w:val="Textonotapie"/>
    <w:uiPriority w:val="99"/>
    <w:rsid w:val="00D67271"/>
    <w:rPr>
      <w:rFonts w:ascii="Times New Roman" w:hAnsi="Times New Roman" w:cs="Times New Roman"/>
      <w:noProof/>
      <w:sz w:val="20"/>
      <w:szCs w:val="20"/>
    </w:rPr>
  </w:style>
  <w:style w:type="paragraph" w:styleId="Textonotaalfinal">
    <w:name w:val="endnote text"/>
    <w:basedOn w:val="Normal"/>
    <w:link w:val="TextonotaalfinalCar"/>
    <w:uiPriority w:val="99"/>
    <w:rsid w:val="00D67271"/>
    <w:pPr>
      <w:widowControl w:val="0"/>
      <w:ind w:left="454" w:hanging="170"/>
    </w:pPr>
  </w:style>
  <w:style w:type="character" w:customStyle="1" w:styleId="TextonotaalfinalCar">
    <w:name w:val="Texto nota al final Car"/>
    <w:basedOn w:val="Fuentedeprrafopredeter"/>
    <w:link w:val="Textonotaalfinal"/>
    <w:uiPriority w:val="99"/>
    <w:semiHidden/>
    <w:rsid w:val="00D67271"/>
    <w:rPr>
      <w:rFonts w:ascii="Times New Roman" w:hAnsi="Times New Roman" w:cs="Times New Roman"/>
      <w:noProof/>
      <w:sz w:val="20"/>
      <w:szCs w:val="20"/>
    </w:rPr>
  </w:style>
  <w:style w:type="character" w:styleId="Refdenotaalpie">
    <w:name w:val="footnote reference"/>
    <w:basedOn w:val="Fuentedeprrafopredeter"/>
    <w:uiPriority w:val="99"/>
    <w:unhideWhenUsed/>
    <w:rsid w:val="00D67271"/>
    <w:rPr>
      <w:vertAlign w:val="superscript"/>
    </w:rPr>
  </w:style>
  <w:style w:type="character" w:styleId="Refdenotaalfinal">
    <w:name w:val="endnote reference"/>
    <w:basedOn w:val="Fuentedeprrafopredeter"/>
    <w:uiPriority w:val="99"/>
    <w:rsid w:val="00D67271"/>
    <w:rPr>
      <w:vertAlign w:val="superscript"/>
    </w:rPr>
  </w:style>
  <w:style w:type="paragraph" w:customStyle="1" w:styleId="acronym">
    <w:name w:val="acronym"/>
    <w:basedOn w:val="Normal"/>
    <w:uiPriority w:val="99"/>
    <w:rsid w:val="00D67271"/>
    <w:pPr>
      <w:keepNext/>
      <w:widowControl w:val="0"/>
      <w:spacing w:before="60" w:after="60"/>
      <w:jc w:val="left"/>
    </w:pPr>
  </w:style>
  <w:style w:type="paragraph" w:customStyle="1" w:styleId="abstracttitle">
    <w:name w:val="abstract title"/>
    <w:basedOn w:val="Normal"/>
    <w:next w:val="abstract"/>
    <w:uiPriority w:val="99"/>
    <w:rsid w:val="00D67271"/>
    <w:pPr>
      <w:widowControl w:val="0"/>
      <w:spacing w:after="120"/>
      <w:jc w:val="center"/>
    </w:pPr>
    <w:rPr>
      <w:b/>
      <w:bCs/>
    </w:rPr>
  </w:style>
  <w:style w:type="paragraph" w:customStyle="1" w:styleId="abstract">
    <w:name w:val="abstract"/>
    <w:basedOn w:val="Normal"/>
    <w:next w:val="Normal"/>
    <w:uiPriority w:val="99"/>
    <w:rsid w:val="00D67271"/>
    <w:pPr>
      <w:ind w:left="1024" w:right="1024" w:firstLine="340"/>
    </w:pPr>
  </w:style>
  <w:style w:type="paragraph" w:customStyle="1" w:styleId="contentsheading">
    <w:name w:val="contents_heading"/>
    <w:basedOn w:val="Normal"/>
    <w:next w:val="Normal"/>
    <w:uiPriority w:val="99"/>
    <w:rsid w:val="00D67271"/>
    <w:pPr>
      <w:keepNext/>
      <w:widowControl w:val="0"/>
      <w:spacing w:before="240" w:after="120"/>
      <w:jc w:val="left"/>
    </w:pPr>
    <w:rPr>
      <w:b/>
      <w:bCs/>
    </w:rPr>
  </w:style>
  <w:style w:type="paragraph" w:styleId="TDC1">
    <w:name w:val="toc 1"/>
    <w:basedOn w:val="Normal"/>
    <w:next w:val="TDC2"/>
    <w:uiPriority w:val="99"/>
    <w:rsid w:val="00D67271"/>
    <w:pPr>
      <w:keepNext/>
      <w:widowControl w:val="0"/>
      <w:tabs>
        <w:tab w:val="right" w:leader="dot" w:pos="8222"/>
      </w:tabs>
      <w:spacing w:before="240" w:after="60"/>
      <w:ind w:left="425"/>
      <w:jc w:val="left"/>
    </w:pPr>
    <w:rPr>
      <w:b/>
      <w:bCs/>
    </w:rPr>
  </w:style>
  <w:style w:type="paragraph" w:styleId="TDC2">
    <w:name w:val="toc 2"/>
    <w:basedOn w:val="Normal"/>
    <w:next w:val="TDC3"/>
    <w:uiPriority w:val="99"/>
    <w:rsid w:val="00D67271"/>
    <w:pPr>
      <w:keepNext/>
      <w:widowControl w:val="0"/>
      <w:tabs>
        <w:tab w:val="right" w:leader="dot" w:pos="8222"/>
      </w:tabs>
      <w:spacing w:before="60" w:after="60"/>
      <w:ind w:left="512"/>
      <w:jc w:val="left"/>
    </w:pPr>
  </w:style>
  <w:style w:type="paragraph" w:styleId="TDC3">
    <w:name w:val="toc 3"/>
    <w:basedOn w:val="Normal"/>
    <w:next w:val="TDC4"/>
    <w:uiPriority w:val="99"/>
    <w:rsid w:val="00D67271"/>
    <w:pPr>
      <w:keepNext/>
      <w:widowControl w:val="0"/>
      <w:tabs>
        <w:tab w:val="right" w:leader="dot" w:pos="8222"/>
      </w:tabs>
      <w:spacing w:before="60" w:after="60"/>
      <w:ind w:left="1024"/>
      <w:jc w:val="left"/>
    </w:pPr>
  </w:style>
  <w:style w:type="paragraph" w:styleId="TDC4">
    <w:name w:val="toc 4"/>
    <w:basedOn w:val="Normal"/>
    <w:next w:val="TDC5"/>
    <w:uiPriority w:val="99"/>
    <w:rsid w:val="00D67271"/>
    <w:pPr>
      <w:keepNext/>
      <w:widowControl w:val="0"/>
      <w:tabs>
        <w:tab w:val="right" w:leader="dot" w:pos="8222"/>
      </w:tabs>
      <w:spacing w:before="60" w:after="60"/>
      <w:ind w:left="1536"/>
      <w:jc w:val="left"/>
    </w:pPr>
  </w:style>
  <w:style w:type="paragraph" w:styleId="TDC5">
    <w:name w:val="toc 5"/>
    <w:basedOn w:val="Normal"/>
    <w:next w:val="TDC6"/>
    <w:uiPriority w:val="99"/>
    <w:rsid w:val="00D67271"/>
    <w:pPr>
      <w:keepNext/>
      <w:widowControl w:val="0"/>
      <w:tabs>
        <w:tab w:val="right" w:leader="dot" w:pos="8222"/>
      </w:tabs>
      <w:spacing w:before="60" w:after="60"/>
      <w:ind w:left="2048"/>
      <w:jc w:val="left"/>
    </w:pPr>
  </w:style>
  <w:style w:type="paragraph" w:styleId="TDC6">
    <w:name w:val="toc 6"/>
    <w:basedOn w:val="Normal"/>
    <w:uiPriority w:val="99"/>
    <w:rsid w:val="00D67271"/>
    <w:pPr>
      <w:keepNext/>
      <w:widowControl w:val="0"/>
      <w:tabs>
        <w:tab w:val="right" w:leader="dot" w:pos="8222"/>
      </w:tabs>
      <w:spacing w:before="60" w:after="60"/>
      <w:ind w:left="2560"/>
      <w:jc w:val="left"/>
    </w:pPr>
  </w:style>
  <w:style w:type="paragraph" w:styleId="Textodeglobo">
    <w:name w:val="Balloon Text"/>
    <w:basedOn w:val="Normal"/>
    <w:link w:val="TextodegloboCar"/>
    <w:uiPriority w:val="99"/>
    <w:semiHidden/>
    <w:unhideWhenUsed/>
    <w:rsid w:val="00596936"/>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936"/>
    <w:rPr>
      <w:rFonts w:ascii="Tahoma" w:hAnsi="Tahoma" w:cs="Tahoma"/>
      <w:noProof/>
      <w:sz w:val="16"/>
      <w:szCs w:val="16"/>
    </w:rPr>
  </w:style>
  <w:style w:type="character" w:styleId="Hipervnculo">
    <w:name w:val="Hyperlink"/>
    <w:basedOn w:val="Fuentedeprrafopredeter"/>
    <w:uiPriority w:val="99"/>
    <w:unhideWhenUsed/>
    <w:rsid w:val="00367CD6"/>
    <w:rPr>
      <w:color w:val="0000FF" w:themeColor="hyperlink"/>
      <w:u w:val="single"/>
    </w:rPr>
  </w:style>
  <w:style w:type="paragraph" w:styleId="Prrafodelista">
    <w:name w:val="List Paragraph"/>
    <w:basedOn w:val="Normal"/>
    <w:uiPriority w:val="34"/>
    <w:qFormat/>
    <w:rsid w:val="00367CD6"/>
    <w:pPr>
      <w:ind w:left="720"/>
      <w:contextualSpacing/>
    </w:pPr>
  </w:style>
  <w:style w:type="table" w:styleId="Tablaconcuadrcula">
    <w:name w:val="Table Grid"/>
    <w:basedOn w:val="Tablanormal"/>
    <w:uiPriority w:val="59"/>
    <w:rsid w:val="00440F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TEquationSection">
    <w:name w:val="MTEquationSection"/>
    <w:basedOn w:val="Fuentedeprrafopredeter"/>
    <w:rsid w:val="00331D0A"/>
    <w:rPr>
      <w:vanish/>
      <w:color w:val="FF0000"/>
      <w:sz w:val="32"/>
      <w:szCs w:val="22"/>
      <w:lang w:val="en-US"/>
    </w:rPr>
  </w:style>
  <w:style w:type="paragraph" w:customStyle="1" w:styleId="MTDisplayEquation">
    <w:name w:val="MTDisplayEquation"/>
    <w:basedOn w:val="Normal"/>
    <w:next w:val="Normal"/>
    <w:link w:val="MTDisplayEquationCar"/>
    <w:rsid w:val="00331D0A"/>
    <w:pPr>
      <w:tabs>
        <w:tab w:val="center" w:pos="4420"/>
        <w:tab w:val="right" w:pos="8840"/>
      </w:tabs>
      <w:ind w:firstLine="300"/>
      <w:jc w:val="center"/>
    </w:pPr>
    <w:rPr>
      <w:sz w:val="22"/>
      <w:szCs w:val="22"/>
      <w:lang w:val="en-US"/>
    </w:rPr>
  </w:style>
  <w:style w:type="character" w:customStyle="1" w:styleId="MTDisplayEquationCar">
    <w:name w:val="MTDisplayEquation Car"/>
    <w:basedOn w:val="Fuentedeprrafopredeter"/>
    <w:link w:val="MTDisplayEquation"/>
    <w:rsid w:val="00331D0A"/>
    <w:rPr>
      <w:rFonts w:ascii="Times New Roman" w:hAnsi="Times New Roman" w:cs="Times New Roman"/>
      <w:noProof/>
      <w:lang w:val="en-US"/>
    </w:rPr>
  </w:style>
  <w:style w:type="character" w:styleId="Textodelmarcadordeposicin">
    <w:name w:val="Placeholder Text"/>
    <w:basedOn w:val="Fuentedeprrafopredeter"/>
    <w:uiPriority w:val="99"/>
    <w:semiHidden/>
    <w:rsid w:val="00ED3F99"/>
    <w:rPr>
      <w:color w:val="808080"/>
    </w:rPr>
  </w:style>
  <w:style w:type="paragraph" w:customStyle="1" w:styleId="Paragraph">
    <w:name w:val="Paragraph"/>
    <w:basedOn w:val="Normal"/>
    <w:link w:val="ParagraphChar"/>
    <w:rsid w:val="00C35E8E"/>
    <w:pPr>
      <w:autoSpaceDE/>
      <w:autoSpaceDN/>
      <w:adjustRightInd/>
      <w:spacing w:after="120"/>
    </w:pPr>
    <w:rPr>
      <w:rFonts w:ascii="Arial" w:eastAsia="Times New Roman" w:hAnsi="Arial"/>
      <w:noProof w:val="0"/>
      <w:sz w:val="22"/>
      <w:lang w:val="en-GB" w:eastAsia="en-US"/>
    </w:rPr>
  </w:style>
  <w:style w:type="character" w:customStyle="1" w:styleId="ParagraphChar">
    <w:name w:val="Paragraph Char"/>
    <w:link w:val="Paragraph"/>
    <w:locked/>
    <w:rsid w:val="00C35E8E"/>
    <w:rPr>
      <w:rFonts w:ascii="Arial" w:eastAsia="Times New Roman" w:hAnsi="Arial" w:cs="Times New Roman"/>
      <w:szCs w:val="20"/>
      <w:lang w:val="en-GB" w:eastAsia="en-US"/>
    </w:rPr>
  </w:style>
  <w:style w:type="paragraph" w:styleId="Revisin">
    <w:name w:val="Revision"/>
    <w:hidden/>
    <w:uiPriority w:val="99"/>
    <w:semiHidden/>
    <w:rsid w:val="000C71E1"/>
    <w:pPr>
      <w:spacing w:after="0" w:line="240" w:lineRule="auto"/>
    </w:pPr>
    <w:rPr>
      <w:rFonts w:ascii="Times New Roman" w:hAnsi="Times New Roman" w:cs="Times New Roman"/>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67271"/>
    <w:pPr>
      <w:autoSpaceDE w:val="0"/>
      <w:autoSpaceDN w:val="0"/>
      <w:adjustRightInd w:val="0"/>
      <w:spacing w:after="0" w:line="240" w:lineRule="auto"/>
      <w:jc w:val="both"/>
    </w:pPr>
    <w:rPr>
      <w:rFonts w:ascii="Times New Roman" w:hAnsi="Times New Roman" w:cs="Times New Roman"/>
      <w:noProof/>
      <w:sz w:val="20"/>
      <w:szCs w:val="20"/>
    </w:rPr>
  </w:style>
  <w:style w:type="paragraph" w:styleId="Ttulo1">
    <w:name w:val="heading 1"/>
    <w:basedOn w:val="Normal"/>
    <w:next w:val="Normal"/>
    <w:link w:val="Ttulo1Car"/>
    <w:uiPriority w:val="99"/>
    <w:qFormat/>
    <w:rsid w:val="00D67271"/>
    <w:pPr>
      <w:keepNext/>
      <w:widowControl w:val="0"/>
      <w:spacing w:before="240" w:after="120"/>
      <w:jc w:val="left"/>
      <w:outlineLvl w:val="0"/>
    </w:pPr>
    <w:rPr>
      <w:b/>
      <w:bCs/>
      <w:sz w:val="40"/>
      <w:szCs w:val="40"/>
    </w:rPr>
  </w:style>
  <w:style w:type="paragraph" w:styleId="Ttulo2">
    <w:name w:val="heading 2"/>
    <w:basedOn w:val="Normal"/>
    <w:next w:val="Normal"/>
    <w:link w:val="Ttulo2Car"/>
    <w:uiPriority w:val="99"/>
    <w:qFormat/>
    <w:rsid w:val="00D67271"/>
    <w:pPr>
      <w:keepNext/>
      <w:widowControl w:val="0"/>
      <w:spacing w:before="240" w:after="120"/>
      <w:jc w:val="left"/>
      <w:outlineLvl w:val="1"/>
    </w:pPr>
    <w:rPr>
      <w:b/>
      <w:bCs/>
      <w:sz w:val="32"/>
      <w:szCs w:val="32"/>
    </w:rPr>
  </w:style>
  <w:style w:type="paragraph" w:styleId="Ttulo3">
    <w:name w:val="heading 3"/>
    <w:basedOn w:val="Normal"/>
    <w:next w:val="Normal"/>
    <w:link w:val="Ttulo3Car"/>
    <w:uiPriority w:val="99"/>
    <w:qFormat/>
    <w:rsid w:val="00D67271"/>
    <w:pPr>
      <w:keepNext/>
      <w:widowControl w:val="0"/>
      <w:spacing w:before="240" w:after="120"/>
      <w:jc w:val="left"/>
      <w:outlineLvl w:val="2"/>
    </w:pPr>
    <w:rPr>
      <w:b/>
      <w:bCs/>
      <w:sz w:val="32"/>
      <w:szCs w:val="32"/>
    </w:rPr>
  </w:style>
  <w:style w:type="paragraph" w:styleId="Ttulo4">
    <w:name w:val="heading 4"/>
    <w:basedOn w:val="Normal"/>
    <w:next w:val="Normal"/>
    <w:link w:val="Ttulo4Car"/>
    <w:uiPriority w:val="99"/>
    <w:qFormat/>
    <w:rsid w:val="00D67271"/>
    <w:pPr>
      <w:keepNext/>
      <w:widowControl w:val="0"/>
      <w:spacing w:before="240" w:after="120"/>
      <w:jc w:val="left"/>
      <w:outlineLvl w:val="3"/>
    </w:pPr>
    <w:rPr>
      <w:b/>
      <w:bCs/>
      <w:sz w:val="24"/>
      <w:szCs w:val="24"/>
    </w:rPr>
  </w:style>
  <w:style w:type="paragraph" w:styleId="Ttulo5">
    <w:name w:val="heading 5"/>
    <w:basedOn w:val="Normal"/>
    <w:next w:val="Normal"/>
    <w:link w:val="Ttulo5Car"/>
    <w:uiPriority w:val="99"/>
    <w:qFormat/>
    <w:rsid w:val="00D67271"/>
    <w:pPr>
      <w:keepNext/>
      <w:widowControl w:val="0"/>
      <w:spacing w:before="240" w:after="120"/>
      <w:jc w:val="left"/>
      <w:outlineLvl w:val="4"/>
    </w:pPr>
    <w:rPr>
      <w:b/>
      <w:bCs/>
      <w:sz w:val="24"/>
      <w:szCs w:val="24"/>
    </w:rPr>
  </w:style>
  <w:style w:type="paragraph" w:styleId="Ttulo6">
    <w:name w:val="heading 6"/>
    <w:basedOn w:val="Normal"/>
    <w:next w:val="Normal"/>
    <w:link w:val="Ttulo6Car"/>
    <w:uiPriority w:val="99"/>
    <w:qFormat/>
    <w:rsid w:val="00D67271"/>
    <w:pPr>
      <w:keepNext/>
      <w:widowControl w:val="0"/>
      <w:spacing w:before="240" w:after="120"/>
      <w:jc w:val="left"/>
      <w:outlineLvl w:val="5"/>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t">
    <w:name w:val="Part"/>
    <w:basedOn w:val="Normal"/>
    <w:next w:val="Normal"/>
    <w:uiPriority w:val="99"/>
    <w:rsid w:val="00D67271"/>
    <w:pPr>
      <w:keepNext/>
      <w:widowControl w:val="0"/>
      <w:spacing w:before="240" w:after="120"/>
      <w:jc w:val="center"/>
    </w:pPr>
    <w:rPr>
      <w:b/>
      <w:bCs/>
      <w:sz w:val="40"/>
      <w:szCs w:val="40"/>
    </w:rPr>
  </w:style>
  <w:style w:type="character" w:customStyle="1" w:styleId="Ttulo1Car">
    <w:name w:val="Título 1 Car"/>
    <w:basedOn w:val="Fuentedeprrafopredeter"/>
    <w:link w:val="Ttulo1"/>
    <w:uiPriority w:val="9"/>
    <w:rsid w:val="00D67271"/>
    <w:rPr>
      <w:rFonts w:asciiTheme="majorHAnsi" w:eastAsiaTheme="majorEastAsia" w:hAnsiTheme="majorHAnsi" w:cstheme="majorBidi"/>
      <w:b/>
      <w:bCs/>
      <w:noProof/>
      <w:kern w:val="32"/>
      <w:sz w:val="32"/>
      <w:szCs w:val="32"/>
    </w:rPr>
  </w:style>
  <w:style w:type="character" w:customStyle="1" w:styleId="Ttulo2Car">
    <w:name w:val="Título 2 Car"/>
    <w:basedOn w:val="Fuentedeprrafopredeter"/>
    <w:link w:val="Ttulo2"/>
    <w:uiPriority w:val="9"/>
    <w:semiHidden/>
    <w:rsid w:val="00D67271"/>
    <w:rPr>
      <w:rFonts w:asciiTheme="majorHAnsi" w:eastAsiaTheme="majorEastAsia" w:hAnsiTheme="majorHAnsi" w:cstheme="majorBidi"/>
      <w:b/>
      <w:bCs/>
      <w:i/>
      <w:iCs/>
      <w:noProof/>
      <w:sz w:val="28"/>
      <w:szCs w:val="28"/>
    </w:rPr>
  </w:style>
  <w:style w:type="character" w:customStyle="1" w:styleId="Ttulo3Car">
    <w:name w:val="Título 3 Car"/>
    <w:basedOn w:val="Fuentedeprrafopredeter"/>
    <w:link w:val="Ttulo3"/>
    <w:uiPriority w:val="9"/>
    <w:semiHidden/>
    <w:rsid w:val="00D67271"/>
    <w:rPr>
      <w:rFonts w:asciiTheme="majorHAnsi" w:eastAsiaTheme="majorEastAsia" w:hAnsiTheme="majorHAnsi" w:cstheme="majorBidi"/>
      <w:b/>
      <w:bCs/>
      <w:noProof/>
      <w:sz w:val="26"/>
      <w:szCs w:val="26"/>
    </w:rPr>
  </w:style>
  <w:style w:type="character" w:customStyle="1" w:styleId="Ttulo4Car">
    <w:name w:val="Título 4 Car"/>
    <w:basedOn w:val="Fuentedeprrafopredeter"/>
    <w:link w:val="Ttulo4"/>
    <w:uiPriority w:val="9"/>
    <w:semiHidden/>
    <w:rsid w:val="00D67271"/>
    <w:rPr>
      <w:b/>
      <w:bCs/>
      <w:noProof/>
      <w:sz w:val="28"/>
      <w:szCs w:val="28"/>
    </w:rPr>
  </w:style>
  <w:style w:type="character" w:customStyle="1" w:styleId="Ttulo5Car">
    <w:name w:val="Título 5 Car"/>
    <w:basedOn w:val="Fuentedeprrafopredeter"/>
    <w:link w:val="Ttulo5"/>
    <w:uiPriority w:val="9"/>
    <w:semiHidden/>
    <w:rsid w:val="00D67271"/>
    <w:rPr>
      <w:b/>
      <w:bCs/>
      <w:i/>
      <w:iCs/>
      <w:noProof/>
      <w:sz w:val="26"/>
      <w:szCs w:val="26"/>
    </w:rPr>
  </w:style>
  <w:style w:type="character" w:customStyle="1" w:styleId="Ttulo6Car">
    <w:name w:val="Título 6 Car"/>
    <w:basedOn w:val="Fuentedeprrafopredeter"/>
    <w:link w:val="Ttulo6"/>
    <w:uiPriority w:val="9"/>
    <w:semiHidden/>
    <w:rsid w:val="00D67271"/>
    <w:rPr>
      <w:b/>
      <w:bCs/>
      <w:noProof/>
    </w:rPr>
  </w:style>
  <w:style w:type="paragraph" w:customStyle="1" w:styleId="rightpar">
    <w:name w:val="rightpar"/>
    <w:basedOn w:val="Normal"/>
    <w:uiPriority w:val="99"/>
    <w:rsid w:val="00D67271"/>
    <w:pPr>
      <w:keepLines/>
      <w:spacing w:before="120" w:after="120"/>
      <w:jc w:val="right"/>
    </w:pPr>
    <w:rPr>
      <w:sz w:val="24"/>
      <w:szCs w:val="24"/>
    </w:rPr>
  </w:style>
  <w:style w:type="paragraph" w:customStyle="1" w:styleId="centerpar">
    <w:name w:val="centerpar"/>
    <w:basedOn w:val="Normal"/>
    <w:uiPriority w:val="99"/>
    <w:rsid w:val="00D67271"/>
    <w:pPr>
      <w:keepLines/>
      <w:spacing w:before="120" w:after="120"/>
      <w:jc w:val="center"/>
    </w:pPr>
    <w:rPr>
      <w:sz w:val="24"/>
      <w:szCs w:val="24"/>
    </w:rPr>
  </w:style>
  <w:style w:type="paragraph" w:customStyle="1" w:styleId="equation">
    <w:name w:val="equation"/>
    <w:basedOn w:val="Normal"/>
    <w:next w:val="Normal"/>
    <w:uiPriority w:val="99"/>
    <w:rsid w:val="00D67271"/>
    <w:pPr>
      <w:keepLines/>
      <w:spacing w:before="120" w:after="120"/>
      <w:jc w:val="left"/>
    </w:pPr>
    <w:rPr>
      <w:sz w:val="24"/>
      <w:szCs w:val="24"/>
    </w:rPr>
  </w:style>
  <w:style w:type="paragraph" w:customStyle="1" w:styleId="equationNum">
    <w:name w:val="equationNum"/>
    <w:basedOn w:val="Normal"/>
    <w:next w:val="Normal"/>
    <w:uiPriority w:val="99"/>
    <w:rsid w:val="00D67271"/>
    <w:pPr>
      <w:keepLines/>
      <w:spacing w:before="120" w:after="120"/>
      <w:jc w:val="left"/>
    </w:pPr>
    <w:rPr>
      <w:sz w:val="24"/>
      <w:szCs w:val="24"/>
    </w:rPr>
  </w:style>
  <w:style w:type="paragraph" w:customStyle="1" w:styleId="equationAlign">
    <w:name w:val="equationAlign"/>
    <w:basedOn w:val="Normal"/>
    <w:next w:val="Normal"/>
    <w:uiPriority w:val="99"/>
    <w:rsid w:val="00D67271"/>
    <w:pPr>
      <w:keepLines/>
      <w:spacing w:before="120" w:after="120"/>
      <w:jc w:val="left"/>
    </w:pPr>
    <w:rPr>
      <w:sz w:val="24"/>
      <w:szCs w:val="24"/>
    </w:rPr>
  </w:style>
  <w:style w:type="paragraph" w:customStyle="1" w:styleId="equationAlignNum">
    <w:name w:val="equationAlignNum"/>
    <w:basedOn w:val="Normal"/>
    <w:next w:val="Normal"/>
    <w:uiPriority w:val="99"/>
    <w:rsid w:val="00D67271"/>
    <w:pPr>
      <w:keepLines/>
      <w:spacing w:before="120" w:after="120"/>
      <w:jc w:val="left"/>
    </w:pPr>
    <w:rPr>
      <w:sz w:val="24"/>
      <w:szCs w:val="24"/>
    </w:rPr>
  </w:style>
  <w:style w:type="paragraph" w:customStyle="1" w:styleId="equationArray">
    <w:name w:val="equationArray"/>
    <w:basedOn w:val="Normal"/>
    <w:next w:val="Normal"/>
    <w:uiPriority w:val="99"/>
    <w:rsid w:val="00D67271"/>
    <w:pPr>
      <w:keepLines/>
      <w:spacing w:before="120" w:after="120"/>
      <w:jc w:val="left"/>
    </w:pPr>
    <w:rPr>
      <w:sz w:val="24"/>
      <w:szCs w:val="24"/>
    </w:rPr>
  </w:style>
  <w:style w:type="paragraph" w:customStyle="1" w:styleId="equationArrayNum">
    <w:name w:val="equationArrayNum"/>
    <w:basedOn w:val="Normal"/>
    <w:next w:val="Normal"/>
    <w:uiPriority w:val="99"/>
    <w:rsid w:val="00D67271"/>
    <w:pPr>
      <w:keepLines/>
      <w:spacing w:before="120" w:after="120"/>
      <w:jc w:val="left"/>
    </w:pPr>
    <w:rPr>
      <w:sz w:val="24"/>
      <w:szCs w:val="24"/>
    </w:rPr>
  </w:style>
  <w:style w:type="paragraph" w:customStyle="1" w:styleId="theorem">
    <w:name w:val="theorem"/>
    <w:basedOn w:val="Normal"/>
    <w:next w:val="Normal"/>
    <w:uiPriority w:val="99"/>
    <w:rsid w:val="00D67271"/>
    <w:pPr>
      <w:keepLines/>
      <w:spacing w:before="120" w:after="120"/>
      <w:jc w:val="left"/>
    </w:pPr>
  </w:style>
  <w:style w:type="paragraph" w:customStyle="1" w:styleId="bitmapCenter">
    <w:name w:val="bitmapCenter"/>
    <w:basedOn w:val="Normal"/>
    <w:next w:val="Normal"/>
    <w:uiPriority w:val="99"/>
    <w:rsid w:val="00D67271"/>
    <w:pPr>
      <w:keepLines/>
      <w:spacing w:before="120" w:after="120"/>
      <w:jc w:val="left"/>
    </w:pPr>
    <w:rPr>
      <w:sz w:val="24"/>
      <w:szCs w:val="24"/>
    </w:rPr>
  </w:style>
  <w:style w:type="paragraph" w:styleId="Ttulo">
    <w:name w:val="Title"/>
    <w:basedOn w:val="Normal"/>
    <w:next w:val="author"/>
    <w:link w:val="TtuloCar"/>
    <w:uiPriority w:val="99"/>
    <w:qFormat/>
    <w:rsid w:val="00D67271"/>
    <w:pPr>
      <w:widowControl w:val="0"/>
      <w:spacing w:before="240" w:after="240"/>
      <w:jc w:val="center"/>
    </w:pPr>
    <w:rPr>
      <w:b/>
      <w:bCs/>
      <w:sz w:val="36"/>
      <w:szCs w:val="36"/>
    </w:rPr>
  </w:style>
  <w:style w:type="character" w:customStyle="1" w:styleId="TtuloCar">
    <w:name w:val="Título Car"/>
    <w:basedOn w:val="Fuentedeprrafopredeter"/>
    <w:link w:val="Ttulo"/>
    <w:uiPriority w:val="10"/>
    <w:rsid w:val="00D67271"/>
    <w:rPr>
      <w:rFonts w:asciiTheme="majorHAnsi" w:eastAsiaTheme="majorEastAsia" w:hAnsiTheme="majorHAnsi" w:cstheme="majorBidi"/>
      <w:b/>
      <w:bCs/>
      <w:noProof/>
      <w:kern w:val="28"/>
      <w:sz w:val="32"/>
      <w:szCs w:val="32"/>
    </w:rPr>
  </w:style>
  <w:style w:type="paragraph" w:customStyle="1" w:styleId="author">
    <w:name w:val="author"/>
    <w:basedOn w:val="Normal"/>
    <w:next w:val="Normal"/>
    <w:uiPriority w:val="99"/>
    <w:rsid w:val="00D67271"/>
    <w:pPr>
      <w:widowControl w:val="0"/>
      <w:spacing w:after="120"/>
      <w:jc w:val="center"/>
    </w:pPr>
  </w:style>
  <w:style w:type="paragraph" w:styleId="Piedepgina">
    <w:name w:val="footer"/>
    <w:basedOn w:val="Normal"/>
    <w:link w:val="PiedepginaCar"/>
    <w:uiPriority w:val="99"/>
    <w:rsid w:val="00D67271"/>
    <w:pPr>
      <w:widowControl w:val="0"/>
      <w:tabs>
        <w:tab w:val="center" w:pos="4536"/>
        <w:tab w:val="right" w:pos="9072"/>
      </w:tabs>
      <w:jc w:val="left"/>
    </w:pPr>
  </w:style>
  <w:style w:type="character" w:customStyle="1" w:styleId="PiedepginaCar">
    <w:name w:val="Pie de página Car"/>
    <w:basedOn w:val="Fuentedeprrafopredeter"/>
    <w:link w:val="Piedepgina"/>
    <w:uiPriority w:val="99"/>
    <w:semiHidden/>
    <w:rsid w:val="00D67271"/>
    <w:rPr>
      <w:rFonts w:ascii="Times New Roman" w:hAnsi="Times New Roman" w:cs="Times New Roman"/>
      <w:noProof/>
      <w:sz w:val="20"/>
      <w:szCs w:val="20"/>
    </w:rPr>
  </w:style>
  <w:style w:type="paragraph" w:styleId="Encabezado">
    <w:name w:val="header"/>
    <w:basedOn w:val="Normal"/>
    <w:link w:val="EncabezadoCar"/>
    <w:uiPriority w:val="99"/>
    <w:rsid w:val="00D67271"/>
    <w:pPr>
      <w:widowControl w:val="0"/>
      <w:tabs>
        <w:tab w:val="center" w:pos="4536"/>
        <w:tab w:val="right" w:pos="9072"/>
      </w:tabs>
      <w:jc w:val="left"/>
    </w:pPr>
  </w:style>
  <w:style w:type="character" w:customStyle="1" w:styleId="EncabezadoCar">
    <w:name w:val="Encabezado Car"/>
    <w:basedOn w:val="Fuentedeprrafopredeter"/>
    <w:link w:val="Encabezado"/>
    <w:uiPriority w:val="99"/>
    <w:semiHidden/>
    <w:rsid w:val="00D67271"/>
    <w:rPr>
      <w:rFonts w:ascii="Times New Roman" w:hAnsi="Times New Roman" w:cs="Times New Roman"/>
      <w:noProof/>
      <w:sz w:val="20"/>
      <w:szCs w:val="20"/>
    </w:rPr>
  </w:style>
  <w:style w:type="paragraph" w:styleId="Epgrafe">
    <w:name w:val="caption"/>
    <w:basedOn w:val="Normal"/>
    <w:next w:val="Normal"/>
    <w:uiPriority w:val="99"/>
    <w:qFormat/>
    <w:rsid w:val="00D67271"/>
    <w:pPr>
      <w:keepLines/>
      <w:spacing w:before="120" w:after="120"/>
      <w:jc w:val="left"/>
    </w:pPr>
    <w:rPr>
      <w:sz w:val="24"/>
      <w:szCs w:val="24"/>
    </w:rPr>
  </w:style>
  <w:style w:type="paragraph" w:customStyle="1" w:styleId="Figure">
    <w:name w:val="Figure"/>
    <w:basedOn w:val="Normal"/>
    <w:next w:val="Normal"/>
    <w:uiPriority w:val="99"/>
    <w:rsid w:val="00D67271"/>
    <w:pPr>
      <w:keepLines/>
      <w:spacing w:before="120"/>
      <w:jc w:val="center"/>
    </w:pPr>
  </w:style>
  <w:style w:type="paragraph" w:customStyle="1" w:styleId="Table">
    <w:name w:val="Table"/>
    <w:basedOn w:val="Normal"/>
    <w:uiPriority w:val="99"/>
    <w:rsid w:val="00D67271"/>
    <w:pPr>
      <w:keepLines/>
      <w:spacing w:before="120"/>
      <w:jc w:val="center"/>
    </w:pPr>
  </w:style>
  <w:style w:type="paragraph" w:customStyle="1" w:styleId="Tabular">
    <w:name w:val="Tabular"/>
    <w:basedOn w:val="Normal"/>
    <w:uiPriority w:val="99"/>
    <w:rsid w:val="00D67271"/>
    <w:pPr>
      <w:keepLines/>
      <w:spacing w:before="120"/>
      <w:jc w:val="center"/>
    </w:pPr>
  </w:style>
  <w:style w:type="paragraph" w:customStyle="1" w:styleId="Tabbing">
    <w:name w:val="Tabbing"/>
    <w:basedOn w:val="Normal"/>
    <w:uiPriority w:val="99"/>
    <w:rsid w:val="00D67271"/>
    <w:pPr>
      <w:keepLines/>
      <w:spacing w:before="120"/>
      <w:jc w:val="center"/>
    </w:pPr>
  </w:style>
  <w:style w:type="paragraph" w:styleId="Cita">
    <w:name w:val="Quote"/>
    <w:basedOn w:val="Normal"/>
    <w:link w:val="CitaCar"/>
    <w:uiPriority w:val="99"/>
    <w:qFormat/>
    <w:rsid w:val="00D67271"/>
    <w:pPr>
      <w:ind w:left="1024" w:right="1024" w:firstLine="340"/>
    </w:pPr>
  </w:style>
  <w:style w:type="character" w:customStyle="1" w:styleId="CitaCar">
    <w:name w:val="Cita Car"/>
    <w:basedOn w:val="Fuentedeprrafopredeter"/>
    <w:link w:val="Cita"/>
    <w:uiPriority w:val="29"/>
    <w:rsid w:val="00D67271"/>
    <w:rPr>
      <w:rFonts w:ascii="Times New Roman" w:hAnsi="Times New Roman" w:cs="Times New Roman"/>
      <w:i/>
      <w:iCs/>
      <w:noProof/>
      <w:color w:val="000000" w:themeColor="text1"/>
      <w:sz w:val="20"/>
      <w:szCs w:val="20"/>
    </w:rPr>
  </w:style>
  <w:style w:type="paragraph" w:customStyle="1" w:styleId="verbatim">
    <w:name w:val="verbatim"/>
    <w:uiPriority w:val="99"/>
    <w:rsid w:val="00D67271"/>
    <w:pPr>
      <w:autoSpaceDE w:val="0"/>
      <w:autoSpaceDN w:val="0"/>
      <w:adjustRightInd w:val="0"/>
      <w:spacing w:after="0" w:line="240" w:lineRule="auto"/>
    </w:pPr>
    <w:rPr>
      <w:rFonts w:ascii="Courier New" w:hAnsi="Courier New" w:cs="Courier New"/>
      <w:noProof/>
      <w:sz w:val="20"/>
      <w:szCs w:val="20"/>
    </w:rPr>
  </w:style>
  <w:style w:type="paragraph" w:styleId="Lista">
    <w:name w:val="List"/>
    <w:basedOn w:val="Normal"/>
    <w:uiPriority w:val="99"/>
    <w:rsid w:val="00D67271"/>
    <w:pPr>
      <w:tabs>
        <w:tab w:val="left" w:pos="283"/>
      </w:tabs>
      <w:spacing w:after="120"/>
      <w:ind w:left="283" w:hanging="283"/>
      <w:jc w:val="left"/>
    </w:pPr>
  </w:style>
  <w:style w:type="paragraph" w:customStyle="1" w:styleId="List1">
    <w:name w:val="List 1"/>
    <w:basedOn w:val="Normal"/>
    <w:uiPriority w:val="99"/>
    <w:rsid w:val="00D67271"/>
    <w:pPr>
      <w:tabs>
        <w:tab w:val="left" w:pos="283"/>
      </w:tabs>
      <w:spacing w:after="120"/>
      <w:ind w:left="283" w:hanging="283"/>
      <w:jc w:val="left"/>
    </w:pPr>
  </w:style>
  <w:style w:type="paragraph" w:customStyle="1" w:styleId="latexpicture">
    <w:name w:val="latex picture"/>
    <w:basedOn w:val="Normal"/>
    <w:next w:val="Normal"/>
    <w:uiPriority w:val="99"/>
    <w:rsid w:val="00D67271"/>
    <w:pPr>
      <w:keepLines/>
      <w:spacing w:before="120" w:after="120"/>
      <w:jc w:val="center"/>
    </w:pPr>
    <w:rPr>
      <w:sz w:val="24"/>
      <w:szCs w:val="24"/>
    </w:rPr>
  </w:style>
  <w:style w:type="paragraph" w:customStyle="1" w:styleId="subfigure">
    <w:name w:val="subfigure"/>
    <w:basedOn w:val="Normal"/>
    <w:next w:val="Normal"/>
    <w:uiPriority w:val="99"/>
    <w:rsid w:val="00D67271"/>
    <w:pPr>
      <w:keepLines/>
      <w:spacing w:before="120" w:after="120"/>
      <w:jc w:val="center"/>
    </w:pPr>
    <w:rPr>
      <w:sz w:val="24"/>
      <w:szCs w:val="24"/>
    </w:rPr>
  </w:style>
  <w:style w:type="paragraph" w:customStyle="1" w:styleId="bibheading">
    <w:name w:val="bibheading"/>
    <w:basedOn w:val="Normal"/>
    <w:next w:val="bibitem"/>
    <w:uiPriority w:val="99"/>
    <w:rsid w:val="00D67271"/>
    <w:pPr>
      <w:keepNext/>
      <w:widowControl w:val="0"/>
      <w:spacing w:before="240" w:after="120"/>
      <w:jc w:val="left"/>
    </w:pPr>
    <w:rPr>
      <w:b/>
      <w:bCs/>
      <w:sz w:val="32"/>
      <w:szCs w:val="32"/>
    </w:rPr>
  </w:style>
  <w:style w:type="paragraph" w:customStyle="1" w:styleId="bibitem">
    <w:name w:val="bibitem"/>
    <w:basedOn w:val="Normal"/>
    <w:uiPriority w:val="99"/>
    <w:rsid w:val="00D67271"/>
    <w:pPr>
      <w:widowControl w:val="0"/>
      <w:ind w:left="567" w:hanging="567"/>
      <w:jc w:val="left"/>
    </w:pPr>
  </w:style>
  <w:style w:type="paragraph" w:customStyle="1" w:styleId="endnotes">
    <w:name w:val="endnotes"/>
    <w:basedOn w:val="Normal"/>
    <w:uiPriority w:val="99"/>
    <w:rsid w:val="00D67271"/>
    <w:pPr>
      <w:tabs>
        <w:tab w:val="left" w:pos="283"/>
      </w:tabs>
      <w:spacing w:after="120"/>
      <w:ind w:left="283" w:hanging="283"/>
      <w:jc w:val="left"/>
    </w:pPr>
  </w:style>
  <w:style w:type="paragraph" w:styleId="Textonotapie">
    <w:name w:val="footnote text"/>
    <w:aliases w:val="Footnote Text Char"/>
    <w:basedOn w:val="Normal"/>
    <w:link w:val="TextonotapieCar"/>
    <w:uiPriority w:val="99"/>
    <w:rsid w:val="00D67271"/>
    <w:pPr>
      <w:widowControl w:val="0"/>
      <w:ind w:left="397" w:hanging="113"/>
      <w:jc w:val="left"/>
    </w:pPr>
  </w:style>
  <w:style w:type="character" w:customStyle="1" w:styleId="TextonotapieCar">
    <w:name w:val="Texto nota pie Car"/>
    <w:aliases w:val="Footnote Text Char Car"/>
    <w:basedOn w:val="Fuentedeprrafopredeter"/>
    <w:link w:val="Textonotapie"/>
    <w:uiPriority w:val="99"/>
    <w:rsid w:val="00D67271"/>
    <w:rPr>
      <w:rFonts w:ascii="Times New Roman" w:hAnsi="Times New Roman" w:cs="Times New Roman"/>
      <w:noProof/>
      <w:sz w:val="20"/>
      <w:szCs w:val="20"/>
    </w:rPr>
  </w:style>
  <w:style w:type="paragraph" w:styleId="Textonotaalfinal">
    <w:name w:val="endnote text"/>
    <w:basedOn w:val="Normal"/>
    <w:link w:val="TextonotaalfinalCar"/>
    <w:uiPriority w:val="99"/>
    <w:rsid w:val="00D67271"/>
    <w:pPr>
      <w:widowControl w:val="0"/>
      <w:ind w:left="454" w:hanging="170"/>
    </w:pPr>
  </w:style>
  <w:style w:type="character" w:customStyle="1" w:styleId="TextonotaalfinalCar">
    <w:name w:val="Texto nota al final Car"/>
    <w:basedOn w:val="Fuentedeprrafopredeter"/>
    <w:link w:val="Textonotaalfinal"/>
    <w:uiPriority w:val="99"/>
    <w:semiHidden/>
    <w:rsid w:val="00D67271"/>
    <w:rPr>
      <w:rFonts w:ascii="Times New Roman" w:hAnsi="Times New Roman" w:cs="Times New Roman"/>
      <w:noProof/>
      <w:sz w:val="20"/>
      <w:szCs w:val="20"/>
    </w:rPr>
  </w:style>
  <w:style w:type="character" w:styleId="Refdenotaalpie">
    <w:name w:val="footnote reference"/>
    <w:basedOn w:val="Fuentedeprrafopredeter"/>
    <w:uiPriority w:val="99"/>
    <w:unhideWhenUsed/>
    <w:rsid w:val="00D67271"/>
    <w:rPr>
      <w:vertAlign w:val="superscript"/>
    </w:rPr>
  </w:style>
  <w:style w:type="character" w:styleId="Refdenotaalfinal">
    <w:name w:val="endnote reference"/>
    <w:basedOn w:val="Fuentedeprrafopredeter"/>
    <w:uiPriority w:val="99"/>
    <w:rsid w:val="00D67271"/>
    <w:rPr>
      <w:vertAlign w:val="superscript"/>
    </w:rPr>
  </w:style>
  <w:style w:type="paragraph" w:customStyle="1" w:styleId="acronym">
    <w:name w:val="acronym"/>
    <w:basedOn w:val="Normal"/>
    <w:uiPriority w:val="99"/>
    <w:rsid w:val="00D67271"/>
    <w:pPr>
      <w:keepNext/>
      <w:widowControl w:val="0"/>
      <w:spacing w:before="60" w:after="60"/>
      <w:jc w:val="left"/>
    </w:pPr>
  </w:style>
  <w:style w:type="paragraph" w:customStyle="1" w:styleId="abstracttitle">
    <w:name w:val="abstract title"/>
    <w:basedOn w:val="Normal"/>
    <w:next w:val="abstract"/>
    <w:uiPriority w:val="99"/>
    <w:rsid w:val="00D67271"/>
    <w:pPr>
      <w:widowControl w:val="0"/>
      <w:spacing w:after="120"/>
      <w:jc w:val="center"/>
    </w:pPr>
    <w:rPr>
      <w:b/>
      <w:bCs/>
    </w:rPr>
  </w:style>
  <w:style w:type="paragraph" w:customStyle="1" w:styleId="abstract">
    <w:name w:val="abstract"/>
    <w:basedOn w:val="Normal"/>
    <w:next w:val="Normal"/>
    <w:uiPriority w:val="99"/>
    <w:rsid w:val="00D67271"/>
    <w:pPr>
      <w:ind w:left="1024" w:right="1024" w:firstLine="340"/>
    </w:pPr>
  </w:style>
  <w:style w:type="paragraph" w:customStyle="1" w:styleId="contentsheading">
    <w:name w:val="contents_heading"/>
    <w:basedOn w:val="Normal"/>
    <w:next w:val="Normal"/>
    <w:uiPriority w:val="99"/>
    <w:rsid w:val="00D67271"/>
    <w:pPr>
      <w:keepNext/>
      <w:widowControl w:val="0"/>
      <w:spacing w:before="240" w:after="120"/>
      <w:jc w:val="left"/>
    </w:pPr>
    <w:rPr>
      <w:b/>
      <w:bCs/>
    </w:rPr>
  </w:style>
  <w:style w:type="paragraph" w:styleId="TDC1">
    <w:name w:val="toc 1"/>
    <w:basedOn w:val="Normal"/>
    <w:next w:val="TDC2"/>
    <w:uiPriority w:val="99"/>
    <w:rsid w:val="00D67271"/>
    <w:pPr>
      <w:keepNext/>
      <w:widowControl w:val="0"/>
      <w:tabs>
        <w:tab w:val="right" w:leader="dot" w:pos="8222"/>
      </w:tabs>
      <w:spacing w:before="240" w:after="60"/>
      <w:ind w:left="425"/>
      <w:jc w:val="left"/>
    </w:pPr>
    <w:rPr>
      <w:b/>
      <w:bCs/>
    </w:rPr>
  </w:style>
  <w:style w:type="paragraph" w:styleId="TDC2">
    <w:name w:val="toc 2"/>
    <w:basedOn w:val="Normal"/>
    <w:next w:val="TDC3"/>
    <w:uiPriority w:val="99"/>
    <w:rsid w:val="00D67271"/>
    <w:pPr>
      <w:keepNext/>
      <w:widowControl w:val="0"/>
      <w:tabs>
        <w:tab w:val="right" w:leader="dot" w:pos="8222"/>
      </w:tabs>
      <w:spacing w:before="60" w:after="60"/>
      <w:ind w:left="512"/>
      <w:jc w:val="left"/>
    </w:pPr>
  </w:style>
  <w:style w:type="paragraph" w:styleId="TDC3">
    <w:name w:val="toc 3"/>
    <w:basedOn w:val="Normal"/>
    <w:next w:val="TDC4"/>
    <w:uiPriority w:val="99"/>
    <w:rsid w:val="00D67271"/>
    <w:pPr>
      <w:keepNext/>
      <w:widowControl w:val="0"/>
      <w:tabs>
        <w:tab w:val="right" w:leader="dot" w:pos="8222"/>
      </w:tabs>
      <w:spacing w:before="60" w:after="60"/>
      <w:ind w:left="1024"/>
      <w:jc w:val="left"/>
    </w:pPr>
  </w:style>
  <w:style w:type="paragraph" w:styleId="TDC4">
    <w:name w:val="toc 4"/>
    <w:basedOn w:val="Normal"/>
    <w:next w:val="TDC5"/>
    <w:uiPriority w:val="99"/>
    <w:rsid w:val="00D67271"/>
    <w:pPr>
      <w:keepNext/>
      <w:widowControl w:val="0"/>
      <w:tabs>
        <w:tab w:val="right" w:leader="dot" w:pos="8222"/>
      </w:tabs>
      <w:spacing w:before="60" w:after="60"/>
      <w:ind w:left="1536"/>
      <w:jc w:val="left"/>
    </w:pPr>
  </w:style>
  <w:style w:type="paragraph" w:styleId="TDC5">
    <w:name w:val="toc 5"/>
    <w:basedOn w:val="Normal"/>
    <w:next w:val="TDC6"/>
    <w:uiPriority w:val="99"/>
    <w:rsid w:val="00D67271"/>
    <w:pPr>
      <w:keepNext/>
      <w:widowControl w:val="0"/>
      <w:tabs>
        <w:tab w:val="right" w:leader="dot" w:pos="8222"/>
      </w:tabs>
      <w:spacing w:before="60" w:after="60"/>
      <w:ind w:left="2048"/>
      <w:jc w:val="left"/>
    </w:pPr>
  </w:style>
  <w:style w:type="paragraph" w:styleId="TDC6">
    <w:name w:val="toc 6"/>
    <w:basedOn w:val="Normal"/>
    <w:uiPriority w:val="99"/>
    <w:rsid w:val="00D67271"/>
    <w:pPr>
      <w:keepNext/>
      <w:widowControl w:val="0"/>
      <w:tabs>
        <w:tab w:val="right" w:leader="dot" w:pos="8222"/>
      </w:tabs>
      <w:spacing w:before="60" w:after="60"/>
      <w:ind w:left="2560"/>
      <w:jc w:val="left"/>
    </w:pPr>
  </w:style>
  <w:style w:type="paragraph" w:styleId="Textodeglobo">
    <w:name w:val="Balloon Text"/>
    <w:basedOn w:val="Normal"/>
    <w:link w:val="TextodegloboCar"/>
    <w:uiPriority w:val="99"/>
    <w:semiHidden/>
    <w:unhideWhenUsed/>
    <w:rsid w:val="00596936"/>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936"/>
    <w:rPr>
      <w:rFonts w:ascii="Tahoma" w:hAnsi="Tahoma" w:cs="Tahoma"/>
      <w:noProof/>
      <w:sz w:val="16"/>
      <w:szCs w:val="16"/>
    </w:rPr>
  </w:style>
  <w:style w:type="character" w:styleId="Hipervnculo">
    <w:name w:val="Hyperlink"/>
    <w:basedOn w:val="Fuentedeprrafopredeter"/>
    <w:uiPriority w:val="99"/>
    <w:unhideWhenUsed/>
    <w:rsid w:val="00367CD6"/>
    <w:rPr>
      <w:color w:val="0000FF" w:themeColor="hyperlink"/>
      <w:u w:val="single"/>
    </w:rPr>
  </w:style>
  <w:style w:type="paragraph" w:styleId="Prrafodelista">
    <w:name w:val="List Paragraph"/>
    <w:basedOn w:val="Normal"/>
    <w:uiPriority w:val="34"/>
    <w:qFormat/>
    <w:rsid w:val="00367CD6"/>
    <w:pPr>
      <w:ind w:left="720"/>
      <w:contextualSpacing/>
    </w:pPr>
  </w:style>
  <w:style w:type="table" w:styleId="Tablaconcuadrcula">
    <w:name w:val="Table Grid"/>
    <w:basedOn w:val="Tablanormal"/>
    <w:uiPriority w:val="59"/>
    <w:rsid w:val="00440F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TEquationSection">
    <w:name w:val="MTEquationSection"/>
    <w:basedOn w:val="Fuentedeprrafopredeter"/>
    <w:rsid w:val="00331D0A"/>
    <w:rPr>
      <w:vanish/>
      <w:color w:val="FF0000"/>
      <w:sz w:val="32"/>
      <w:szCs w:val="22"/>
      <w:lang w:val="en-US"/>
    </w:rPr>
  </w:style>
  <w:style w:type="paragraph" w:customStyle="1" w:styleId="MTDisplayEquation">
    <w:name w:val="MTDisplayEquation"/>
    <w:basedOn w:val="Normal"/>
    <w:next w:val="Normal"/>
    <w:link w:val="MTDisplayEquationCar"/>
    <w:rsid w:val="00331D0A"/>
    <w:pPr>
      <w:tabs>
        <w:tab w:val="center" w:pos="4420"/>
        <w:tab w:val="right" w:pos="8840"/>
      </w:tabs>
      <w:ind w:firstLine="300"/>
      <w:jc w:val="center"/>
    </w:pPr>
    <w:rPr>
      <w:sz w:val="22"/>
      <w:szCs w:val="22"/>
      <w:lang w:val="en-US"/>
    </w:rPr>
  </w:style>
  <w:style w:type="character" w:customStyle="1" w:styleId="MTDisplayEquationCar">
    <w:name w:val="MTDisplayEquation Car"/>
    <w:basedOn w:val="Fuentedeprrafopredeter"/>
    <w:link w:val="MTDisplayEquation"/>
    <w:rsid w:val="00331D0A"/>
    <w:rPr>
      <w:rFonts w:ascii="Times New Roman" w:hAnsi="Times New Roman" w:cs="Times New Roman"/>
      <w:noProof/>
      <w:lang w:val="en-US"/>
    </w:rPr>
  </w:style>
  <w:style w:type="character" w:styleId="Textodelmarcadordeposicin">
    <w:name w:val="Placeholder Text"/>
    <w:basedOn w:val="Fuentedeprrafopredeter"/>
    <w:uiPriority w:val="99"/>
    <w:semiHidden/>
    <w:rsid w:val="00ED3F99"/>
    <w:rPr>
      <w:color w:val="808080"/>
    </w:rPr>
  </w:style>
  <w:style w:type="paragraph" w:customStyle="1" w:styleId="Paragraph">
    <w:name w:val="Paragraph"/>
    <w:basedOn w:val="Normal"/>
    <w:link w:val="ParagraphChar"/>
    <w:rsid w:val="00C35E8E"/>
    <w:pPr>
      <w:autoSpaceDE/>
      <w:autoSpaceDN/>
      <w:adjustRightInd/>
      <w:spacing w:after="120"/>
    </w:pPr>
    <w:rPr>
      <w:rFonts w:ascii="Arial" w:eastAsia="Times New Roman" w:hAnsi="Arial"/>
      <w:noProof w:val="0"/>
      <w:sz w:val="22"/>
      <w:lang w:val="en-GB" w:eastAsia="en-US"/>
    </w:rPr>
  </w:style>
  <w:style w:type="character" w:customStyle="1" w:styleId="ParagraphChar">
    <w:name w:val="Paragraph Char"/>
    <w:link w:val="Paragraph"/>
    <w:locked/>
    <w:rsid w:val="00C35E8E"/>
    <w:rPr>
      <w:rFonts w:ascii="Arial" w:eastAsia="Times New Roman" w:hAnsi="Arial" w:cs="Times New Roman"/>
      <w:szCs w:val="20"/>
      <w:lang w:val="en-GB" w:eastAsia="en-US"/>
    </w:rPr>
  </w:style>
  <w:style w:type="paragraph" w:styleId="Revisin">
    <w:name w:val="Revision"/>
    <w:hidden/>
    <w:uiPriority w:val="99"/>
    <w:semiHidden/>
    <w:rsid w:val="000C71E1"/>
    <w:pPr>
      <w:spacing w:after="0" w:line="240" w:lineRule="auto"/>
    </w:pPr>
    <w:rPr>
      <w:rFonts w:ascii="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17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49.bin"/><Relationship Id="rId21" Type="http://schemas.openxmlformats.org/officeDocument/2006/relationships/oleObject" Target="embeddings/oleObject5.bin"/><Relationship Id="rId42" Type="http://schemas.openxmlformats.org/officeDocument/2006/relationships/oleObject" Target="embeddings/oleObject13.bin"/><Relationship Id="rId47" Type="http://schemas.openxmlformats.org/officeDocument/2006/relationships/image" Target="media/image25.emf"/><Relationship Id="rId63" Type="http://schemas.openxmlformats.org/officeDocument/2006/relationships/image" Target="media/image34.wmf"/><Relationship Id="rId68" Type="http://schemas.openxmlformats.org/officeDocument/2006/relationships/image" Target="media/image38.wmf"/><Relationship Id="rId84" Type="http://schemas.openxmlformats.org/officeDocument/2006/relationships/image" Target="media/image48.wmf"/><Relationship Id="rId89" Type="http://schemas.openxmlformats.org/officeDocument/2006/relationships/oleObject" Target="embeddings/oleObject31.bin"/><Relationship Id="rId112" Type="http://schemas.openxmlformats.org/officeDocument/2006/relationships/image" Target="media/image57.wmf"/><Relationship Id="rId16" Type="http://schemas.openxmlformats.org/officeDocument/2006/relationships/image" Target="media/image6.wmf"/><Relationship Id="rId107" Type="http://schemas.openxmlformats.org/officeDocument/2006/relationships/oleObject" Target="embeddings/oleObject44.bin"/><Relationship Id="rId11" Type="http://schemas.openxmlformats.org/officeDocument/2006/relationships/image" Target="media/image3.emf"/><Relationship Id="rId32" Type="http://schemas.openxmlformats.org/officeDocument/2006/relationships/image" Target="media/image15.wmf"/><Relationship Id="rId37" Type="http://schemas.openxmlformats.org/officeDocument/2006/relationships/oleObject" Target="embeddings/oleObject11.bin"/><Relationship Id="rId53" Type="http://schemas.openxmlformats.org/officeDocument/2006/relationships/oleObject" Target="embeddings/oleObject17.bin"/><Relationship Id="rId58" Type="http://schemas.openxmlformats.org/officeDocument/2006/relationships/image" Target="media/image31.wmf"/><Relationship Id="rId74" Type="http://schemas.openxmlformats.org/officeDocument/2006/relationships/image" Target="media/image42.wmf"/><Relationship Id="rId79" Type="http://schemas.openxmlformats.org/officeDocument/2006/relationships/oleObject" Target="embeddings/oleObject26.bin"/><Relationship Id="rId102" Type="http://schemas.openxmlformats.org/officeDocument/2006/relationships/oleObject" Target="embeddings/oleObject41.bin"/><Relationship Id="rId123" Type="http://schemas.openxmlformats.org/officeDocument/2006/relationships/image" Target="media/image65.wmf"/><Relationship Id="rId128" Type="http://schemas.openxmlformats.org/officeDocument/2006/relationships/footer" Target="footer1.xml"/><Relationship Id="rId5" Type="http://schemas.openxmlformats.org/officeDocument/2006/relationships/settings" Target="settings.xml"/><Relationship Id="rId90" Type="http://schemas.openxmlformats.org/officeDocument/2006/relationships/image" Target="media/image51.wmf"/><Relationship Id="rId95" Type="http://schemas.openxmlformats.org/officeDocument/2006/relationships/oleObject" Target="embeddings/oleObject35.bin"/><Relationship Id="rId19" Type="http://schemas.openxmlformats.org/officeDocument/2006/relationships/oleObject" Target="embeddings/oleObject4.bin"/><Relationship Id="rId14" Type="http://schemas.openxmlformats.org/officeDocument/2006/relationships/oleObject" Target="embeddings/oleObject1.bin"/><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image" Target="media/image13.wmf"/><Relationship Id="rId35" Type="http://schemas.openxmlformats.org/officeDocument/2006/relationships/oleObject" Target="embeddings/oleObject10.bin"/><Relationship Id="rId43" Type="http://schemas.openxmlformats.org/officeDocument/2006/relationships/image" Target="media/image22.wmf"/><Relationship Id="rId48" Type="http://schemas.openxmlformats.org/officeDocument/2006/relationships/image" Target="media/image26.wmf"/><Relationship Id="rId56" Type="http://schemas.openxmlformats.org/officeDocument/2006/relationships/image" Target="media/image30.wmf"/><Relationship Id="rId64" Type="http://schemas.openxmlformats.org/officeDocument/2006/relationships/image" Target="media/image35.wmf"/><Relationship Id="rId69" Type="http://schemas.openxmlformats.org/officeDocument/2006/relationships/oleObject" Target="embeddings/oleObject23.bin"/><Relationship Id="rId77" Type="http://schemas.openxmlformats.org/officeDocument/2006/relationships/image" Target="media/image44.emf"/><Relationship Id="rId100" Type="http://schemas.openxmlformats.org/officeDocument/2006/relationships/oleObject" Target="embeddings/oleObject40.bin"/><Relationship Id="rId105" Type="http://schemas.openxmlformats.org/officeDocument/2006/relationships/image" Target="media/image55.wmf"/><Relationship Id="rId113" Type="http://schemas.openxmlformats.org/officeDocument/2006/relationships/image" Target="media/image58.wmf"/><Relationship Id="rId118" Type="http://schemas.openxmlformats.org/officeDocument/2006/relationships/image" Target="media/image61.wmf"/><Relationship Id="rId126" Type="http://schemas.openxmlformats.org/officeDocument/2006/relationships/hyperlink" Target="http://ideas.repec.org/p/cdl/ucscec/qt8cq7g4c9.html" TargetMode="External"/><Relationship Id="rId8" Type="http://schemas.openxmlformats.org/officeDocument/2006/relationships/endnotes" Target="endnotes.xml"/><Relationship Id="rId51" Type="http://schemas.openxmlformats.org/officeDocument/2006/relationships/oleObject" Target="embeddings/oleObject16.bin"/><Relationship Id="rId72" Type="http://schemas.openxmlformats.org/officeDocument/2006/relationships/oleObject" Target="embeddings/oleObject24.bin"/><Relationship Id="rId80" Type="http://schemas.openxmlformats.org/officeDocument/2006/relationships/image" Target="media/image46.wmf"/><Relationship Id="rId85" Type="http://schemas.openxmlformats.org/officeDocument/2006/relationships/oleObject" Target="embeddings/oleObject29.bin"/><Relationship Id="rId93" Type="http://schemas.openxmlformats.org/officeDocument/2006/relationships/image" Target="media/image52.wmf"/><Relationship Id="rId98" Type="http://schemas.openxmlformats.org/officeDocument/2006/relationships/oleObject" Target="embeddings/oleObject38.bin"/><Relationship Id="rId121" Type="http://schemas.openxmlformats.org/officeDocument/2006/relationships/image" Target="media/image63.w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6.wmf"/><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oleObject" Target="embeddings/oleObject20.bin"/><Relationship Id="rId67" Type="http://schemas.openxmlformats.org/officeDocument/2006/relationships/image" Target="media/image37.emf"/><Relationship Id="rId103" Type="http://schemas.openxmlformats.org/officeDocument/2006/relationships/image" Target="media/image54.wmf"/><Relationship Id="rId108" Type="http://schemas.openxmlformats.org/officeDocument/2006/relationships/oleObject" Target="embeddings/oleObject45.bin"/><Relationship Id="rId116" Type="http://schemas.openxmlformats.org/officeDocument/2006/relationships/image" Target="media/image60.wmf"/><Relationship Id="rId124" Type="http://schemas.openxmlformats.org/officeDocument/2006/relationships/image" Target="media/image66.wmf"/><Relationship Id="rId129"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21.wmf"/><Relationship Id="rId54" Type="http://schemas.openxmlformats.org/officeDocument/2006/relationships/image" Target="media/image29.wmf"/><Relationship Id="rId62" Type="http://schemas.openxmlformats.org/officeDocument/2006/relationships/oleObject" Target="embeddings/oleObject21.bin"/><Relationship Id="rId70" Type="http://schemas.openxmlformats.org/officeDocument/2006/relationships/image" Target="media/image39.wmf"/><Relationship Id="rId75" Type="http://schemas.openxmlformats.org/officeDocument/2006/relationships/oleObject" Target="embeddings/oleObject25.bin"/><Relationship Id="rId83" Type="http://schemas.openxmlformats.org/officeDocument/2006/relationships/oleObject" Target="embeddings/oleObject28.bin"/><Relationship Id="rId88" Type="http://schemas.openxmlformats.org/officeDocument/2006/relationships/image" Target="media/image50.wmf"/><Relationship Id="rId91" Type="http://schemas.openxmlformats.org/officeDocument/2006/relationships/oleObject" Target="embeddings/oleObject32.bin"/><Relationship Id="rId96" Type="http://schemas.openxmlformats.org/officeDocument/2006/relationships/oleObject" Target="embeddings/oleObject36.bin"/><Relationship Id="rId111" Type="http://schemas.openxmlformats.org/officeDocument/2006/relationships/oleObject" Target="embeddings/oleObject47.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image" Target="media/image18.wmf"/><Relationship Id="rId49" Type="http://schemas.openxmlformats.org/officeDocument/2006/relationships/oleObject" Target="embeddings/oleObject15.bin"/><Relationship Id="rId57" Type="http://schemas.openxmlformats.org/officeDocument/2006/relationships/oleObject" Target="embeddings/oleObject19.bin"/><Relationship Id="rId106" Type="http://schemas.openxmlformats.org/officeDocument/2006/relationships/oleObject" Target="embeddings/oleObject43.bin"/><Relationship Id="rId114" Type="http://schemas.openxmlformats.org/officeDocument/2006/relationships/image" Target="media/image59.wmf"/><Relationship Id="rId119" Type="http://schemas.openxmlformats.org/officeDocument/2006/relationships/oleObject" Target="embeddings/oleObject50.bin"/><Relationship Id="rId127" Type="http://schemas.openxmlformats.org/officeDocument/2006/relationships/hyperlink" Target="http://ideas.repec.org/s/cdl/ucscec.html" TargetMode="External"/><Relationship Id="rId10" Type="http://schemas.openxmlformats.org/officeDocument/2006/relationships/image" Target="media/image2.emf"/><Relationship Id="rId31" Type="http://schemas.openxmlformats.org/officeDocument/2006/relationships/image" Target="media/image14.wmf"/><Relationship Id="rId44" Type="http://schemas.openxmlformats.org/officeDocument/2006/relationships/image" Target="media/image23.wmf"/><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oleObject" Target="embeddings/oleObject22.bin"/><Relationship Id="rId73" Type="http://schemas.openxmlformats.org/officeDocument/2006/relationships/image" Target="media/image41.wmf"/><Relationship Id="rId78" Type="http://schemas.openxmlformats.org/officeDocument/2006/relationships/image" Target="media/image45.wmf"/><Relationship Id="rId81" Type="http://schemas.openxmlformats.org/officeDocument/2006/relationships/oleObject" Target="embeddings/oleObject27.bin"/><Relationship Id="rId86" Type="http://schemas.openxmlformats.org/officeDocument/2006/relationships/image" Target="media/image49.wmf"/><Relationship Id="rId94" Type="http://schemas.openxmlformats.org/officeDocument/2006/relationships/oleObject" Target="embeddings/oleObject34.bin"/><Relationship Id="rId99" Type="http://schemas.openxmlformats.org/officeDocument/2006/relationships/oleObject" Target="embeddings/oleObject39.bin"/><Relationship Id="rId101" Type="http://schemas.openxmlformats.org/officeDocument/2006/relationships/image" Target="media/image53.wmf"/><Relationship Id="rId122" Type="http://schemas.openxmlformats.org/officeDocument/2006/relationships/image" Target="media/image64.wmf"/><Relationship Id="rId13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7.wmf"/><Relationship Id="rId39" Type="http://schemas.openxmlformats.org/officeDocument/2006/relationships/oleObject" Target="embeddings/oleObject12.bin"/><Relationship Id="rId109" Type="http://schemas.openxmlformats.org/officeDocument/2006/relationships/image" Target="media/image56.wmf"/><Relationship Id="rId34" Type="http://schemas.openxmlformats.org/officeDocument/2006/relationships/image" Target="media/image17.wmf"/><Relationship Id="rId50" Type="http://schemas.openxmlformats.org/officeDocument/2006/relationships/image" Target="media/image27.wmf"/><Relationship Id="rId55" Type="http://schemas.openxmlformats.org/officeDocument/2006/relationships/oleObject" Target="embeddings/oleObject18.bin"/><Relationship Id="rId76" Type="http://schemas.openxmlformats.org/officeDocument/2006/relationships/image" Target="media/image43.wmf"/><Relationship Id="rId97" Type="http://schemas.openxmlformats.org/officeDocument/2006/relationships/oleObject" Target="embeddings/oleObject37.bin"/><Relationship Id="rId104" Type="http://schemas.openxmlformats.org/officeDocument/2006/relationships/oleObject" Target="embeddings/oleObject42.bin"/><Relationship Id="rId120" Type="http://schemas.openxmlformats.org/officeDocument/2006/relationships/image" Target="media/image62.wmf"/><Relationship Id="rId125" Type="http://schemas.openxmlformats.org/officeDocument/2006/relationships/image" Target="media/image67.wmf"/><Relationship Id="rId7" Type="http://schemas.openxmlformats.org/officeDocument/2006/relationships/footnotes" Target="footnotes.xml"/><Relationship Id="rId71" Type="http://schemas.openxmlformats.org/officeDocument/2006/relationships/image" Target="media/image40.wmf"/><Relationship Id="rId92" Type="http://schemas.openxmlformats.org/officeDocument/2006/relationships/oleObject" Target="embeddings/oleObject33.bin"/><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10.wmf"/><Relationship Id="rId40" Type="http://schemas.openxmlformats.org/officeDocument/2006/relationships/image" Target="media/image20.wmf"/><Relationship Id="rId45" Type="http://schemas.openxmlformats.org/officeDocument/2006/relationships/oleObject" Target="embeddings/oleObject14.bin"/><Relationship Id="rId66" Type="http://schemas.openxmlformats.org/officeDocument/2006/relationships/image" Target="media/image36.wmf"/><Relationship Id="rId87" Type="http://schemas.openxmlformats.org/officeDocument/2006/relationships/oleObject" Target="embeddings/oleObject30.bin"/><Relationship Id="rId110" Type="http://schemas.openxmlformats.org/officeDocument/2006/relationships/oleObject" Target="embeddings/oleObject46.bin"/><Relationship Id="rId115" Type="http://schemas.openxmlformats.org/officeDocument/2006/relationships/oleObject" Target="embeddings/oleObject48.bin"/><Relationship Id="rId61" Type="http://schemas.openxmlformats.org/officeDocument/2006/relationships/image" Target="media/image33.wmf"/><Relationship Id="rId82" Type="http://schemas.openxmlformats.org/officeDocument/2006/relationships/image" Target="media/image47.wmf"/></Relationships>
</file>

<file path=word/_rels/footnotes.xml.rels><?xml version="1.0" encoding="UTF-8" standalone="yes"?>
<Relationships xmlns="http://schemas.openxmlformats.org/package/2006/relationships"><Relationship Id="rId1" Type="http://schemas.openxmlformats.org/officeDocument/2006/relationships/hyperlink" Target="mailto:pablo.pincheira@uai.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5BE53-6493-4086-8D7F-7FA5DF55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32</Pages>
  <Words>7195</Words>
  <Characters>41016</Characters>
  <Application>Microsoft Office Word</Application>
  <DocSecurity>0</DocSecurity>
  <Lines>341</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Original file was atex_phpNU5WRy.tex</vt:lpstr>
      <vt:lpstr>Original file was atex_phpNU5WRy.tex</vt:lpstr>
    </vt:vector>
  </TitlesOfParts>
  <Company>Banco Central de Chile</Company>
  <LinksUpToDate>false</LinksUpToDate>
  <CharactersWithSpaces>48115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file was atex_phpNU5WRy.tex</dc:title>
  <dc:creator>Carlos A. Medel</dc:creator>
  <dc:description>Created using latex2rtf 2.3.3 r1230 (released Feb 26, 2013) on Mon Apr 22 19:05:17 2013</dc:description>
  <cp:lastModifiedBy>ppinchei</cp:lastModifiedBy>
  <cp:revision>16</cp:revision>
  <cp:lastPrinted>2017-03-31T22:40:00Z</cp:lastPrinted>
  <dcterms:created xsi:type="dcterms:W3CDTF">2017-03-28T13:34:00Z</dcterms:created>
  <dcterms:modified xsi:type="dcterms:W3CDTF">2017-03-31T22:48:00Z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