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01408A" w14:textId="36FD7700" w:rsidR="0085000C" w:rsidRPr="007D2E18" w:rsidRDefault="00CC6F9C" w:rsidP="00CC6F9C">
      <w:pPr>
        <w:spacing w:after="0" w:line="240" w:lineRule="auto"/>
        <w:rPr>
          <w:rFonts w:ascii="Times New Roman" w:hAnsi="Times New Roman" w:cs="Times New Roman"/>
          <w:b/>
          <w:bCs/>
          <w:sz w:val="24"/>
          <w:szCs w:val="24"/>
          <w:lang w:val="en-GB"/>
        </w:rPr>
      </w:pPr>
      <w:r w:rsidRPr="007D2E18">
        <w:rPr>
          <w:rFonts w:ascii="Times New Roman" w:hAnsi="Times New Roman" w:cs="Times New Roman"/>
          <w:b/>
          <w:bCs/>
          <w:sz w:val="24"/>
          <w:szCs w:val="24"/>
          <w:lang w:val="en-GB"/>
        </w:rPr>
        <w:t>GEOPOLITICAL TENSIONS, OPEC NEWS, AND THE OIL PRICE: A GRANGER CAUSALITY ANALYSIS</w:t>
      </w:r>
      <w:r w:rsidR="00A456AE" w:rsidRPr="007D2E18">
        <w:rPr>
          <w:rStyle w:val="Refdenotaalpie"/>
          <w:rFonts w:ascii="Times New Roman" w:hAnsi="Times New Roman" w:cs="Times New Roman"/>
          <w:b/>
          <w:bCs/>
          <w:sz w:val="24"/>
          <w:szCs w:val="24"/>
          <w:lang w:val="en-GB"/>
        </w:rPr>
        <w:footnoteReference w:customMarkFollows="1" w:id="1"/>
        <w:sym w:font="Symbol" w:char="F02A"/>
      </w:r>
    </w:p>
    <w:p w14:paraId="23C12E87" w14:textId="0CFB31B5" w:rsidR="00A456AE" w:rsidRPr="007D2E18" w:rsidRDefault="00A456AE" w:rsidP="00A456AE">
      <w:pPr>
        <w:spacing w:after="0" w:line="240" w:lineRule="auto"/>
        <w:jc w:val="both"/>
        <w:rPr>
          <w:rFonts w:ascii="Times New Roman" w:hAnsi="Times New Roman" w:cs="Times New Roman"/>
          <w:sz w:val="24"/>
          <w:szCs w:val="24"/>
          <w:lang w:val="en-GB"/>
        </w:rPr>
      </w:pPr>
    </w:p>
    <w:p w14:paraId="1BAEABEC" w14:textId="09AD7231" w:rsidR="004E2072" w:rsidRPr="007D2E18" w:rsidRDefault="004E2072" w:rsidP="00A456AE">
      <w:pPr>
        <w:spacing w:after="0" w:line="240" w:lineRule="auto"/>
        <w:jc w:val="both"/>
        <w:rPr>
          <w:rFonts w:ascii="Times New Roman" w:hAnsi="Times New Roman" w:cs="Times New Roman"/>
          <w:b/>
          <w:bCs/>
          <w:sz w:val="24"/>
          <w:szCs w:val="24"/>
          <w:lang w:val="en-GB"/>
        </w:rPr>
      </w:pPr>
      <w:r w:rsidRPr="007D2E18">
        <w:rPr>
          <w:rFonts w:ascii="Times New Roman" w:hAnsi="Times New Roman" w:cs="Times New Roman"/>
          <w:b/>
          <w:bCs/>
          <w:sz w:val="24"/>
          <w:szCs w:val="24"/>
          <w:lang w:val="en-GB"/>
        </w:rPr>
        <w:t>TENSIONES GEOPOLÍTICAS, NOTICIAS OPEP</w:t>
      </w:r>
      <w:r w:rsidR="00A34A05" w:rsidRPr="007D2E18">
        <w:rPr>
          <w:rFonts w:ascii="Times New Roman" w:hAnsi="Times New Roman" w:cs="Times New Roman"/>
          <w:b/>
          <w:bCs/>
          <w:sz w:val="24"/>
          <w:szCs w:val="24"/>
          <w:lang w:val="en-GB"/>
        </w:rPr>
        <w:t>,</w:t>
      </w:r>
      <w:r w:rsidRPr="007D2E18">
        <w:rPr>
          <w:rFonts w:ascii="Times New Roman" w:hAnsi="Times New Roman" w:cs="Times New Roman"/>
          <w:b/>
          <w:bCs/>
          <w:sz w:val="24"/>
          <w:szCs w:val="24"/>
          <w:lang w:val="en-GB"/>
        </w:rPr>
        <w:t xml:space="preserve"> Y EL PRECIO DEL PETRÓLEO: UN ANÁLISIS DE CAUSALIDAD </w:t>
      </w:r>
      <w:r w:rsidR="00A34A05" w:rsidRPr="007D2E18">
        <w:rPr>
          <w:rFonts w:ascii="Times New Roman" w:hAnsi="Times New Roman" w:cs="Times New Roman"/>
          <w:b/>
          <w:bCs/>
          <w:sz w:val="24"/>
          <w:szCs w:val="24"/>
          <w:lang w:val="en-GB"/>
        </w:rPr>
        <w:t>GRANGER</w:t>
      </w:r>
    </w:p>
    <w:p w14:paraId="7427025E" w14:textId="77777777" w:rsidR="00A34A05" w:rsidRPr="007D2E18" w:rsidRDefault="00A34A05" w:rsidP="00A456AE">
      <w:pPr>
        <w:spacing w:after="0" w:line="240" w:lineRule="auto"/>
        <w:jc w:val="both"/>
        <w:rPr>
          <w:rFonts w:ascii="Times New Roman" w:hAnsi="Times New Roman" w:cs="Times New Roman"/>
          <w:sz w:val="24"/>
          <w:szCs w:val="24"/>
          <w:lang w:val="en-GB"/>
        </w:rPr>
      </w:pPr>
    </w:p>
    <w:p w14:paraId="0F55AEA7" w14:textId="2EDCC811" w:rsidR="0085000C"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Antonio Fernandois</w:t>
      </w:r>
      <w:r w:rsidR="00A456AE" w:rsidRPr="007D2E18">
        <w:rPr>
          <w:rStyle w:val="Refdenotaalpie"/>
          <w:rFonts w:ascii="Times New Roman" w:hAnsi="Times New Roman" w:cs="Times New Roman"/>
          <w:sz w:val="24"/>
          <w:szCs w:val="24"/>
          <w:lang w:val="en-GB"/>
        </w:rPr>
        <w:footnoteReference w:customMarkFollows="1" w:id="2"/>
        <w:sym w:font="Symbol" w:char="F02A"/>
      </w:r>
      <w:r w:rsidR="00A456AE" w:rsidRPr="007D2E18">
        <w:rPr>
          <w:rStyle w:val="Refdenotaalpie"/>
          <w:rFonts w:ascii="Times New Roman" w:hAnsi="Times New Roman" w:cs="Times New Roman"/>
          <w:sz w:val="24"/>
          <w:szCs w:val="24"/>
          <w:lang w:val="en-GB"/>
        </w:rPr>
        <w:sym w:font="Symbol" w:char="F02A"/>
      </w:r>
    </w:p>
    <w:p w14:paraId="2A8B0B85" w14:textId="77777777" w:rsidR="0085000C" w:rsidRPr="007D2E18" w:rsidRDefault="0085000C" w:rsidP="00A456AE">
      <w:pPr>
        <w:spacing w:after="0" w:line="240" w:lineRule="auto"/>
        <w:jc w:val="both"/>
        <w:rPr>
          <w:rFonts w:ascii="Times New Roman" w:hAnsi="Times New Roman" w:cs="Times New Roman"/>
          <w:i/>
          <w:iCs/>
          <w:sz w:val="24"/>
          <w:szCs w:val="24"/>
          <w:lang w:val="en-GB"/>
        </w:rPr>
      </w:pPr>
      <w:r w:rsidRPr="007D2E18">
        <w:rPr>
          <w:rFonts w:ascii="Times New Roman" w:hAnsi="Times New Roman" w:cs="Times New Roman"/>
          <w:i/>
          <w:iCs/>
          <w:sz w:val="24"/>
          <w:szCs w:val="24"/>
          <w:lang w:val="en-GB"/>
        </w:rPr>
        <w:t>Central Bank of Chile</w:t>
      </w:r>
    </w:p>
    <w:p w14:paraId="3345ABCF" w14:textId="77777777" w:rsidR="0085000C" w:rsidRPr="007D2E18" w:rsidRDefault="0085000C" w:rsidP="00A456AE">
      <w:pPr>
        <w:spacing w:after="0" w:line="240" w:lineRule="auto"/>
        <w:jc w:val="both"/>
        <w:rPr>
          <w:rFonts w:ascii="Times New Roman" w:hAnsi="Times New Roman" w:cs="Times New Roman"/>
          <w:sz w:val="24"/>
          <w:szCs w:val="24"/>
          <w:lang w:val="en-GB"/>
        </w:rPr>
      </w:pPr>
    </w:p>
    <w:p w14:paraId="12DCEA69" w14:textId="0936BC5E" w:rsidR="0085000C"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Carlos A. Medel</w:t>
      </w:r>
      <w:r w:rsidR="00A456AE" w:rsidRPr="007D2E18">
        <w:rPr>
          <w:rStyle w:val="Refdenotaalpie"/>
          <w:rFonts w:ascii="Times New Roman" w:hAnsi="Times New Roman" w:cs="Times New Roman"/>
          <w:sz w:val="24"/>
          <w:szCs w:val="24"/>
          <w:lang w:val="en-GB"/>
        </w:rPr>
        <w:footnoteReference w:customMarkFollows="1" w:id="3"/>
        <w:t>***</w:t>
      </w:r>
    </w:p>
    <w:p w14:paraId="59C5C9AE" w14:textId="77777777" w:rsidR="0085000C" w:rsidRPr="007D2E18" w:rsidRDefault="0085000C" w:rsidP="00A456AE">
      <w:pPr>
        <w:spacing w:after="0" w:line="240" w:lineRule="auto"/>
        <w:jc w:val="both"/>
        <w:rPr>
          <w:rFonts w:ascii="Times New Roman" w:hAnsi="Times New Roman" w:cs="Times New Roman"/>
          <w:i/>
          <w:iCs/>
          <w:sz w:val="24"/>
          <w:szCs w:val="24"/>
          <w:lang w:val="en-GB"/>
        </w:rPr>
      </w:pPr>
      <w:r w:rsidRPr="007D2E18">
        <w:rPr>
          <w:rFonts w:ascii="Times New Roman" w:hAnsi="Times New Roman" w:cs="Times New Roman"/>
          <w:i/>
          <w:iCs/>
          <w:sz w:val="24"/>
          <w:szCs w:val="24"/>
          <w:lang w:val="en-GB"/>
        </w:rPr>
        <w:t>Central Bank of Chile</w:t>
      </w:r>
    </w:p>
    <w:p w14:paraId="13D70B01" w14:textId="77777777" w:rsidR="0085000C" w:rsidRPr="007D2E18" w:rsidRDefault="0085000C" w:rsidP="00A456AE">
      <w:pPr>
        <w:spacing w:after="0" w:line="240" w:lineRule="auto"/>
        <w:jc w:val="both"/>
        <w:rPr>
          <w:rFonts w:ascii="Times New Roman" w:hAnsi="Times New Roman" w:cs="Times New Roman"/>
          <w:sz w:val="24"/>
          <w:szCs w:val="24"/>
          <w:lang w:val="en-GB"/>
        </w:rPr>
      </w:pPr>
    </w:p>
    <w:p w14:paraId="5AC68986" w14:textId="77777777" w:rsidR="00A456AE" w:rsidRPr="007D2E18" w:rsidRDefault="00A456AE" w:rsidP="00A456AE">
      <w:pPr>
        <w:spacing w:after="0" w:line="240" w:lineRule="auto"/>
        <w:jc w:val="center"/>
        <w:rPr>
          <w:rFonts w:ascii="Times New Roman" w:hAnsi="Times New Roman" w:cs="Times New Roman"/>
          <w:b/>
          <w:bCs/>
          <w:sz w:val="24"/>
          <w:szCs w:val="24"/>
          <w:lang w:val="en-GB"/>
        </w:rPr>
      </w:pPr>
      <w:r w:rsidRPr="007D2E18">
        <w:rPr>
          <w:rFonts w:ascii="Times New Roman" w:hAnsi="Times New Roman" w:cs="Times New Roman"/>
          <w:b/>
          <w:bCs/>
          <w:sz w:val="24"/>
          <w:szCs w:val="24"/>
          <w:lang w:val="en-GB"/>
        </w:rPr>
        <w:t>A</w:t>
      </w:r>
      <w:r w:rsidR="0085000C" w:rsidRPr="007D2E18">
        <w:rPr>
          <w:rFonts w:ascii="Times New Roman" w:hAnsi="Times New Roman" w:cs="Times New Roman"/>
          <w:b/>
          <w:bCs/>
          <w:sz w:val="24"/>
          <w:szCs w:val="24"/>
          <w:lang w:val="en-GB"/>
        </w:rPr>
        <w:t>bstract</w:t>
      </w:r>
    </w:p>
    <w:p w14:paraId="6496EFAB" w14:textId="13DDE368" w:rsidR="0085000C"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To what extent do geopolitical tensions, supply disturbances, and unexpected news in the Organisation of the Petroleum Exporting Countries (OPEC) and major oil-producer countries affect the oil price? Are oil price forecasters aware of these tensions? Do these tensions affect forecasters</w:t>
      </w:r>
      <w:r w:rsidR="00CC6F9C"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 xml:space="preserve"> consensus when making their predictions? Is there a difference between news coming from OPEC countries versus other major oil exporters? In this article, we analyse the influence of geopolitical tensions, news, and events in major oil producers on the Brent oil price, its forecasts, and the dispersion of those forecasts. We empirically test these hypotheses by introducing and making use of a unique media-based measure of geopolitical tensions accounting for supply crunches and expansions for the 2001-12 period, by means of Granger causality. We found evidence suggesting that overall geopolitical tensions affect the current level of oil price, its forecasts, and the dispersion of those forecasts. More remarkably, when separating between OPEC and non-OPEC news, we found that the former affect oil price forecasts and its consensus, and at the same time, the current oil price determine oil-based news on OPEC countries. Moreover, non-OPEC news affect the current and future oil price level and neither the forecast nor the dispersion of those forecasts its affected by the level. All these results imply that geopolitical tensions in a broader sense affect oil prices, and OPEC news should be read jointly with other geopolitical tensions as oil price drivers</w:t>
      </w:r>
      <w:r w:rsidR="00CC6F9C"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and</w:t>
      </w:r>
      <w:r w:rsidR="00CC6F9C" w:rsidRPr="007D2E18">
        <w:rPr>
          <w:rFonts w:ascii="Times New Roman" w:hAnsi="Times New Roman" w:cs="Times New Roman"/>
          <w:sz w:val="24"/>
          <w:szCs w:val="24"/>
          <w:lang w:val="en-GB"/>
        </w:rPr>
        <w:t xml:space="preserve"> </w:t>
      </w:r>
      <w:r w:rsidRPr="007D2E18">
        <w:rPr>
          <w:rFonts w:ascii="Times New Roman" w:hAnsi="Times New Roman" w:cs="Times New Roman"/>
          <w:sz w:val="24"/>
          <w:szCs w:val="24"/>
          <w:lang w:val="en-GB"/>
        </w:rPr>
        <w:t>not as an isolated news generator affecting oil prices. This weakens the hypothesis of OPEC as a price setter in the global oil market whose behaviour, in turn, seems a matter for forecasters. These results are important suggesting that, in order to keep track of oil price dynamics, one needs to account for a more general context of geopolitical tensions beyond OPEC countries, relying on signals and externalities that are not necessarily based on economic rationale.</w:t>
      </w:r>
    </w:p>
    <w:p w14:paraId="4269B9D0" w14:textId="77777777" w:rsidR="00A34A05" w:rsidRPr="007D2E18" w:rsidRDefault="00A34A05" w:rsidP="00A456AE">
      <w:pPr>
        <w:spacing w:after="0" w:line="240" w:lineRule="auto"/>
        <w:jc w:val="both"/>
        <w:rPr>
          <w:rFonts w:ascii="Times New Roman" w:hAnsi="Times New Roman" w:cs="Times New Roman"/>
          <w:sz w:val="24"/>
          <w:szCs w:val="24"/>
          <w:lang w:val="en-GB"/>
        </w:rPr>
      </w:pPr>
    </w:p>
    <w:p w14:paraId="0D757161" w14:textId="6D0A40C5" w:rsidR="0085000C" w:rsidRPr="007D2E18" w:rsidRDefault="0085000C" w:rsidP="00CC6F9C">
      <w:pPr>
        <w:spacing w:after="0" w:line="240" w:lineRule="auto"/>
        <w:ind w:left="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JEL-Codes: </w:t>
      </w:r>
      <w:r w:rsidRPr="007D2E18">
        <w:rPr>
          <w:rFonts w:ascii="Times New Roman" w:hAnsi="Times New Roman" w:cs="Times New Roman"/>
          <w:i/>
          <w:iCs/>
          <w:sz w:val="24"/>
          <w:szCs w:val="24"/>
          <w:lang w:val="en-GB"/>
        </w:rPr>
        <w:t>C12</w:t>
      </w:r>
      <w:r w:rsidRPr="007D2E18">
        <w:rPr>
          <w:rFonts w:ascii="Times New Roman" w:hAnsi="Times New Roman" w:cs="Times New Roman"/>
          <w:sz w:val="24"/>
          <w:szCs w:val="24"/>
          <w:lang w:val="en-GB"/>
        </w:rPr>
        <w:t xml:space="preserve">; </w:t>
      </w:r>
      <w:r w:rsidRPr="007D2E18">
        <w:rPr>
          <w:rFonts w:ascii="Times New Roman" w:hAnsi="Times New Roman" w:cs="Times New Roman"/>
          <w:i/>
          <w:iCs/>
          <w:sz w:val="24"/>
          <w:szCs w:val="24"/>
          <w:lang w:val="en-GB"/>
        </w:rPr>
        <w:t>C22</w:t>
      </w:r>
      <w:r w:rsidRPr="007D2E18">
        <w:rPr>
          <w:rFonts w:ascii="Times New Roman" w:hAnsi="Times New Roman" w:cs="Times New Roman"/>
          <w:sz w:val="24"/>
          <w:szCs w:val="24"/>
          <w:lang w:val="en-GB"/>
        </w:rPr>
        <w:t xml:space="preserve">; </w:t>
      </w:r>
      <w:r w:rsidRPr="007D2E18">
        <w:rPr>
          <w:rFonts w:ascii="Times New Roman" w:hAnsi="Times New Roman" w:cs="Times New Roman"/>
          <w:i/>
          <w:iCs/>
          <w:sz w:val="24"/>
          <w:szCs w:val="24"/>
          <w:lang w:val="en-GB"/>
        </w:rPr>
        <w:t>E66</w:t>
      </w:r>
      <w:r w:rsidRPr="007D2E18">
        <w:rPr>
          <w:rFonts w:ascii="Times New Roman" w:hAnsi="Times New Roman" w:cs="Times New Roman"/>
          <w:sz w:val="24"/>
          <w:szCs w:val="24"/>
          <w:lang w:val="en-GB"/>
        </w:rPr>
        <w:t xml:space="preserve">; </w:t>
      </w:r>
      <w:r w:rsidRPr="007D2E18">
        <w:rPr>
          <w:rFonts w:ascii="Times New Roman" w:hAnsi="Times New Roman" w:cs="Times New Roman"/>
          <w:i/>
          <w:iCs/>
          <w:sz w:val="24"/>
          <w:szCs w:val="24"/>
          <w:lang w:val="en-GB"/>
        </w:rPr>
        <w:t>Q41</w:t>
      </w:r>
      <w:r w:rsidRPr="007D2E18">
        <w:rPr>
          <w:rFonts w:ascii="Times New Roman" w:hAnsi="Times New Roman" w:cs="Times New Roman"/>
          <w:sz w:val="24"/>
          <w:szCs w:val="24"/>
          <w:lang w:val="en-GB"/>
        </w:rPr>
        <w:t>.</w:t>
      </w:r>
    </w:p>
    <w:p w14:paraId="3D63A819" w14:textId="77777777" w:rsidR="00A34A05" w:rsidRPr="007D2E18" w:rsidRDefault="00A34A05" w:rsidP="00CC6F9C">
      <w:pPr>
        <w:spacing w:after="0" w:line="240" w:lineRule="auto"/>
        <w:ind w:left="720"/>
        <w:jc w:val="both"/>
        <w:rPr>
          <w:rFonts w:ascii="Times New Roman" w:hAnsi="Times New Roman" w:cs="Times New Roman"/>
          <w:sz w:val="24"/>
          <w:szCs w:val="24"/>
          <w:lang w:val="en-GB"/>
        </w:rPr>
      </w:pPr>
    </w:p>
    <w:p w14:paraId="291F7694" w14:textId="0C42392D" w:rsidR="00BC77A2" w:rsidRPr="007D2E18" w:rsidRDefault="0085000C" w:rsidP="00CC6F9C">
      <w:pPr>
        <w:spacing w:after="0" w:line="240" w:lineRule="auto"/>
        <w:ind w:left="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lastRenderedPageBreak/>
        <w:t xml:space="preserve">Keywords: </w:t>
      </w:r>
      <w:r w:rsidRPr="007D2E18">
        <w:rPr>
          <w:rFonts w:ascii="Times New Roman" w:hAnsi="Times New Roman" w:cs="Times New Roman"/>
          <w:i/>
          <w:iCs/>
          <w:sz w:val="24"/>
          <w:szCs w:val="24"/>
          <w:lang w:val="en-GB"/>
        </w:rPr>
        <w:t>Oil-producer countries</w:t>
      </w:r>
      <w:r w:rsidRPr="007D2E18">
        <w:rPr>
          <w:rFonts w:ascii="Times New Roman" w:hAnsi="Times New Roman" w:cs="Times New Roman"/>
          <w:sz w:val="24"/>
          <w:szCs w:val="24"/>
          <w:lang w:val="en-GB"/>
        </w:rPr>
        <w:t xml:space="preserve">; </w:t>
      </w:r>
      <w:r w:rsidRPr="007D2E18">
        <w:rPr>
          <w:rFonts w:ascii="Times New Roman" w:hAnsi="Times New Roman" w:cs="Times New Roman"/>
          <w:i/>
          <w:iCs/>
          <w:sz w:val="24"/>
          <w:szCs w:val="24"/>
          <w:lang w:val="en-GB"/>
        </w:rPr>
        <w:t>OPEC</w:t>
      </w:r>
      <w:r w:rsidRPr="007D2E18">
        <w:rPr>
          <w:rFonts w:ascii="Times New Roman" w:hAnsi="Times New Roman" w:cs="Times New Roman"/>
          <w:sz w:val="24"/>
          <w:szCs w:val="24"/>
          <w:lang w:val="en-GB"/>
        </w:rPr>
        <w:t xml:space="preserve">; </w:t>
      </w:r>
      <w:r w:rsidR="00CC6F9C" w:rsidRPr="007D2E18">
        <w:rPr>
          <w:rFonts w:ascii="Times New Roman" w:hAnsi="Times New Roman" w:cs="Times New Roman"/>
          <w:i/>
          <w:iCs/>
          <w:sz w:val="24"/>
          <w:szCs w:val="24"/>
          <w:lang w:val="en-GB"/>
        </w:rPr>
        <w:t>o</w:t>
      </w:r>
      <w:r w:rsidRPr="007D2E18">
        <w:rPr>
          <w:rFonts w:ascii="Times New Roman" w:hAnsi="Times New Roman" w:cs="Times New Roman"/>
          <w:i/>
          <w:iCs/>
          <w:sz w:val="24"/>
          <w:szCs w:val="24"/>
          <w:lang w:val="en-GB"/>
        </w:rPr>
        <w:t>il price</w:t>
      </w:r>
      <w:r w:rsidRPr="007D2E18">
        <w:rPr>
          <w:rFonts w:ascii="Times New Roman" w:hAnsi="Times New Roman" w:cs="Times New Roman"/>
          <w:sz w:val="24"/>
          <w:szCs w:val="24"/>
          <w:lang w:val="en-GB"/>
        </w:rPr>
        <w:t xml:space="preserve">; </w:t>
      </w:r>
      <w:r w:rsidRPr="007D2E18">
        <w:rPr>
          <w:rFonts w:ascii="Times New Roman" w:hAnsi="Times New Roman" w:cs="Times New Roman"/>
          <w:i/>
          <w:iCs/>
          <w:sz w:val="24"/>
          <w:szCs w:val="24"/>
          <w:lang w:val="en-GB"/>
        </w:rPr>
        <w:t>Granger causality</w:t>
      </w:r>
      <w:r w:rsidRPr="007D2E18">
        <w:rPr>
          <w:rFonts w:ascii="Times New Roman" w:hAnsi="Times New Roman" w:cs="Times New Roman"/>
          <w:sz w:val="24"/>
          <w:szCs w:val="24"/>
          <w:lang w:val="en-GB"/>
        </w:rPr>
        <w:t>.</w:t>
      </w:r>
    </w:p>
    <w:p w14:paraId="773A2F05" w14:textId="062770ED" w:rsidR="0085000C" w:rsidRPr="007D2E18" w:rsidRDefault="0085000C" w:rsidP="00A456AE">
      <w:pPr>
        <w:spacing w:after="0" w:line="240" w:lineRule="auto"/>
        <w:jc w:val="both"/>
        <w:rPr>
          <w:rFonts w:ascii="Times New Roman" w:hAnsi="Times New Roman" w:cs="Times New Roman"/>
          <w:sz w:val="24"/>
          <w:szCs w:val="24"/>
          <w:lang w:val="en-GB"/>
        </w:rPr>
      </w:pPr>
    </w:p>
    <w:p w14:paraId="18AC5095" w14:textId="77777777" w:rsidR="00A34A05" w:rsidRPr="007D2E18" w:rsidRDefault="00A34A05" w:rsidP="00A34A05">
      <w:pPr>
        <w:spacing w:after="0" w:line="240" w:lineRule="auto"/>
        <w:jc w:val="center"/>
        <w:rPr>
          <w:rFonts w:ascii="Times New Roman" w:hAnsi="Times New Roman" w:cs="Times New Roman"/>
          <w:b/>
          <w:bCs/>
          <w:sz w:val="24"/>
          <w:szCs w:val="24"/>
          <w:lang w:val="es-CL"/>
        </w:rPr>
      </w:pPr>
      <w:r w:rsidRPr="007D2E18">
        <w:rPr>
          <w:rFonts w:ascii="Times New Roman" w:hAnsi="Times New Roman" w:cs="Times New Roman"/>
          <w:b/>
          <w:bCs/>
          <w:sz w:val="24"/>
          <w:szCs w:val="24"/>
          <w:lang w:val="es-CL"/>
        </w:rPr>
        <w:t>Resumen</w:t>
      </w:r>
    </w:p>
    <w:p w14:paraId="259C18BB" w14:textId="24777F5B" w:rsidR="00A34A05" w:rsidRPr="007D2E18" w:rsidRDefault="00A34A05" w:rsidP="00A34A05">
      <w:pPr>
        <w:spacing w:after="0" w:line="240" w:lineRule="auto"/>
        <w:jc w:val="both"/>
        <w:rPr>
          <w:rFonts w:ascii="Times New Roman" w:hAnsi="Times New Roman" w:cs="Times New Roman"/>
          <w:sz w:val="24"/>
          <w:szCs w:val="24"/>
          <w:lang w:val="es-CL"/>
        </w:rPr>
      </w:pPr>
      <w:r w:rsidRPr="007D2E18">
        <w:rPr>
          <w:rFonts w:ascii="Times New Roman" w:hAnsi="Times New Roman" w:cs="Times New Roman"/>
          <w:sz w:val="24"/>
          <w:szCs w:val="24"/>
          <w:lang w:val="es-CL"/>
        </w:rPr>
        <w:t xml:space="preserve">¿En qué medida las tensiones geopolíticas, disrupciones de oferta, y noticias inesperadas de la Organización de Países Exportadores de Petróleo (OPEP) y principales países productores de petróleo afectan el precio del petróleo? ¿Están conscientes los pronosticadores del precio del petróleo de estas tensiones? ¿Afectan estas tensiones el consenso de los pronosticadores al hacer sus </w:t>
      </w:r>
      <w:r w:rsidR="00841D16" w:rsidRPr="007D2E18">
        <w:rPr>
          <w:rFonts w:ascii="Times New Roman" w:hAnsi="Times New Roman" w:cs="Times New Roman"/>
          <w:sz w:val="24"/>
          <w:szCs w:val="24"/>
          <w:lang w:val="es-CL"/>
        </w:rPr>
        <w:t>proyecciones</w:t>
      </w:r>
      <w:r w:rsidRPr="007D2E18">
        <w:rPr>
          <w:rFonts w:ascii="Times New Roman" w:hAnsi="Times New Roman" w:cs="Times New Roman"/>
          <w:sz w:val="24"/>
          <w:szCs w:val="24"/>
          <w:lang w:val="es-CL"/>
        </w:rPr>
        <w:t>? ¿</w:t>
      </w:r>
      <w:r w:rsidR="0044144F" w:rsidRPr="007D2E18">
        <w:rPr>
          <w:rFonts w:ascii="Times New Roman" w:hAnsi="Times New Roman" w:cs="Times New Roman"/>
          <w:sz w:val="24"/>
          <w:szCs w:val="24"/>
          <w:lang w:val="es-CL"/>
        </w:rPr>
        <w:t>Existe</w:t>
      </w:r>
      <w:r w:rsidRPr="007D2E18">
        <w:rPr>
          <w:rFonts w:ascii="Times New Roman" w:hAnsi="Times New Roman" w:cs="Times New Roman"/>
          <w:sz w:val="24"/>
          <w:szCs w:val="24"/>
          <w:lang w:val="es-CL"/>
        </w:rPr>
        <w:t xml:space="preserve"> alguna diferencia entre las noticias provenientes de los países de la OPEP y otros grandes exportadores de petróleo? En este artículo, analizamos la influencia de las tensiones geopolíticas, noticias</w:t>
      </w:r>
      <w:r w:rsidR="00841D16" w:rsidRPr="007D2E18">
        <w:rPr>
          <w:rFonts w:ascii="Times New Roman" w:hAnsi="Times New Roman" w:cs="Times New Roman"/>
          <w:sz w:val="24"/>
          <w:szCs w:val="24"/>
          <w:lang w:val="es-CL"/>
        </w:rPr>
        <w:t>,</w:t>
      </w:r>
      <w:r w:rsidRPr="007D2E18">
        <w:rPr>
          <w:rFonts w:ascii="Times New Roman" w:hAnsi="Times New Roman" w:cs="Times New Roman"/>
          <w:sz w:val="24"/>
          <w:szCs w:val="24"/>
          <w:lang w:val="es-CL"/>
        </w:rPr>
        <w:t xml:space="preserve"> y eventos en los principales productores de petróleo sobre el precio del petróleo Brent, sus proyecciones</w:t>
      </w:r>
      <w:r w:rsidR="00841D16" w:rsidRPr="007D2E18">
        <w:rPr>
          <w:rFonts w:ascii="Times New Roman" w:hAnsi="Times New Roman" w:cs="Times New Roman"/>
          <w:sz w:val="24"/>
          <w:szCs w:val="24"/>
          <w:lang w:val="es-CL"/>
        </w:rPr>
        <w:t>,</w:t>
      </w:r>
      <w:r w:rsidRPr="007D2E18">
        <w:rPr>
          <w:rFonts w:ascii="Times New Roman" w:hAnsi="Times New Roman" w:cs="Times New Roman"/>
          <w:sz w:val="24"/>
          <w:szCs w:val="24"/>
          <w:lang w:val="es-CL"/>
        </w:rPr>
        <w:t xml:space="preserve"> y la dispersión </w:t>
      </w:r>
      <w:r w:rsidR="00841D16" w:rsidRPr="007D2E18">
        <w:rPr>
          <w:rFonts w:ascii="Times New Roman" w:hAnsi="Times New Roman" w:cs="Times New Roman"/>
          <w:sz w:val="24"/>
          <w:szCs w:val="24"/>
          <w:lang w:val="es-CL"/>
        </w:rPr>
        <w:t>en torno a</w:t>
      </w:r>
      <w:r w:rsidRPr="007D2E18">
        <w:rPr>
          <w:rFonts w:ascii="Times New Roman" w:hAnsi="Times New Roman" w:cs="Times New Roman"/>
          <w:sz w:val="24"/>
          <w:szCs w:val="24"/>
          <w:lang w:val="es-CL"/>
        </w:rPr>
        <w:t xml:space="preserve"> esas proyecciones.</w:t>
      </w:r>
      <w:r w:rsidR="00E34CC2" w:rsidRPr="007D2E18">
        <w:rPr>
          <w:rFonts w:ascii="Times New Roman" w:hAnsi="Times New Roman" w:cs="Times New Roman"/>
          <w:sz w:val="24"/>
          <w:szCs w:val="24"/>
          <w:lang w:val="es-CL"/>
        </w:rPr>
        <w:t xml:space="preserve"> </w:t>
      </w:r>
      <w:r w:rsidR="0044144F" w:rsidRPr="007D2E18">
        <w:rPr>
          <w:rFonts w:ascii="Times New Roman" w:hAnsi="Times New Roman" w:cs="Times New Roman"/>
          <w:sz w:val="24"/>
          <w:szCs w:val="24"/>
          <w:lang w:val="es-CL"/>
        </w:rPr>
        <w:t>E</w:t>
      </w:r>
      <w:r w:rsidRPr="007D2E18">
        <w:rPr>
          <w:rFonts w:ascii="Times New Roman" w:hAnsi="Times New Roman" w:cs="Times New Roman"/>
          <w:sz w:val="24"/>
          <w:szCs w:val="24"/>
          <w:lang w:val="es-CL"/>
        </w:rPr>
        <w:t>mpíricamente</w:t>
      </w:r>
      <w:r w:rsidR="0044144F" w:rsidRPr="007D2E18">
        <w:rPr>
          <w:rFonts w:ascii="Times New Roman" w:hAnsi="Times New Roman" w:cs="Times New Roman"/>
          <w:sz w:val="24"/>
          <w:szCs w:val="24"/>
          <w:lang w:val="es-CL"/>
        </w:rPr>
        <w:t xml:space="preserve"> probamos</w:t>
      </w:r>
      <w:r w:rsidRPr="007D2E18">
        <w:rPr>
          <w:rFonts w:ascii="Times New Roman" w:hAnsi="Times New Roman" w:cs="Times New Roman"/>
          <w:sz w:val="24"/>
          <w:szCs w:val="24"/>
          <w:lang w:val="es-CL"/>
        </w:rPr>
        <w:t xml:space="preserve"> estas hipótesis mediante la introducción y el uso de una medida única basada en los medios </w:t>
      </w:r>
      <w:r w:rsidR="0044144F" w:rsidRPr="007D2E18">
        <w:rPr>
          <w:rFonts w:ascii="Times New Roman" w:hAnsi="Times New Roman" w:cs="Times New Roman"/>
          <w:sz w:val="24"/>
          <w:szCs w:val="24"/>
          <w:lang w:val="es-CL"/>
        </w:rPr>
        <w:t xml:space="preserve">de prensa </w:t>
      </w:r>
      <w:r w:rsidRPr="007D2E18">
        <w:rPr>
          <w:rFonts w:ascii="Times New Roman" w:hAnsi="Times New Roman" w:cs="Times New Roman"/>
          <w:sz w:val="24"/>
          <w:szCs w:val="24"/>
          <w:lang w:val="es-CL"/>
        </w:rPr>
        <w:t xml:space="preserve">de las tensiones geopolíticas que </w:t>
      </w:r>
      <w:r w:rsidR="0044144F" w:rsidRPr="007D2E18">
        <w:rPr>
          <w:rFonts w:ascii="Times New Roman" w:hAnsi="Times New Roman" w:cs="Times New Roman"/>
          <w:sz w:val="24"/>
          <w:szCs w:val="24"/>
          <w:lang w:val="es-CL"/>
        </w:rPr>
        <w:t>contabiliza</w:t>
      </w:r>
      <w:r w:rsidRPr="007D2E18">
        <w:rPr>
          <w:rFonts w:ascii="Times New Roman" w:hAnsi="Times New Roman" w:cs="Times New Roman"/>
          <w:sz w:val="24"/>
          <w:szCs w:val="24"/>
          <w:lang w:val="es-CL"/>
        </w:rPr>
        <w:t xml:space="preserve"> </w:t>
      </w:r>
      <w:r w:rsidR="0044144F" w:rsidRPr="007D2E18">
        <w:rPr>
          <w:rFonts w:ascii="Times New Roman" w:hAnsi="Times New Roman" w:cs="Times New Roman"/>
          <w:sz w:val="24"/>
          <w:szCs w:val="24"/>
          <w:lang w:val="es-CL"/>
        </w:rPr>
        <w:t xml:space="preserve">por reducciones </w:t>
      </w:r>
      <w:r w:rsidRPr="007D2E18">
        <w:rPr>
          <w:rFonts w:ascii="Times New Roman" w:hAnsi="Times New Roman" w:cs="Times New Roman"/>
          <w:sz w:val="24"/>
          <w:szCs w:val="24"/>
          <w:lang w:val="es-CL"/>
        </w:rPr>
        <w:t xml:space="preserve">y expansiones de oferta para el período 2001-12, </w:t>
      </w:r>
      <w:r w:rsidR="0044144F" w:rsidRPr="007D2E18">
        <w:rPr>
          <w:rFonts w:ascii="Times New Roman" w:hAnsi="Times New Roman" w:cs="Times New Roman"/>
          <w:sz w:val="24"/>
          <w:szCs w:val="24"/>
          <w:lang w:val="es-CL"/>
        </w:rPr>
        <w:t>mediante</w:t>
      </w:r>
      <w:r w:rsidRPr="007D2E18">
        <w:rPr>
          <w:rFonts w:ascii="Times New Roman" w:hAnsi="Times New Roman" w:cs="Times New Roman"/>
          <w:sz w:val="24"/>
          <w:szCs w:val="24"/>
          <w:lang w:val="es-CL"/>
        </w:rPr>
        <w:t xml:space="preserve"> causalidad de Granger. Encontramos evidencia sugir</w:t>
      </w:r>
      <w:r w:rsidR="0044144F" w:rsidRPr="007D2E18">
        <w:rPr>
          <w:rFonts w:ascii="Times New Roman" w:hAnsi="Times New Roman" w:cs="Times New Roman"/>
          <w:sz w:val="24"/>
          <w:szCs w:val="24"/>
          <w:lang w:val="es-CL"/>
        </w:rPr>
        <w:t>iendo</w:t>
      </w:r>
      <w:r w:rsidRPr="007D2E18">
        <w:rPr>
          <w:rFonts w:ascii="Times New Roman" w:hAnsi="Times New Roman" w:cs="Times New Roman"/>
          <w:sz w:val="24"/>
          <w:szCs w:val="24"/>
          <w:lang w:val="es-CL"/>
        </w:rPr>
        <w:t xml:space="preserve"> que las tensiones geopolíticas</w:t>
      </w:r>
      <w:r w:rsidR="0044144F" w:rsidRPr="007D2E18">
        <w:rPr>
          <w:rFonts w:ascii="Times New Roman" w:hAnsi="Times New Roman" w:cs="Times New Roman"/>
          <w:sz w:val="24"/>
          <w:szCs w:val="24"/>
          <w:lang w:val="es-CL"/>
        </w:rPr>
        <w:t>,</w:t>
      </w:r>
      <w:r w:rsidRPr="007D2E18">
        <w:rPr>
          <w:rFonts w:ascii="Times New Roman" w:hAnsi="Times New Roman" w:cs="Times New Roman"/>
          <w:sz w:val="24"/>
          <w:szCs w:val="24"/>
          <w:lang w:val="es-CL"/>
        </w:rPr>
        <w:t xml:space="preserve"> </w:t>
      </w:r>
      <w:r w:rsidR="0044144F" w:rsidRPr="007D2E18">
        <w:rPr>
          <w:rFonts w:ascii="Times New Roman" w:hAnsi="Times New Roman" w:cs="Times New Roman"/>
          <w:sz w:val="24"/>
          <w:szCs w:val="24"/>
          <w:lang w:val="es-CL"/>
        </w:rPr>
        <w:t xml:space="preserve">en general, </w:t>
      </w:r>
      <w:r w:rsidRPr="007D2E18">
        <w:rPr>
          <w:rFonts w:ascii="Times New Roman" w:hAnsi="Times New Roman" w:cs="Times New Roman"/>
          <w:sz w:val="24"/>
          <w:szCs w:val="24"/>
          <w:lang w:val="es-CL"/>
        </w:rPr>
        <w:t xml:space="preserve">afectan el nivel actual del precio del petróleo, sus </w:t>
      </w:r>
      <w:r w:rsidR="0044144F" w:rsidRPr="007D2E18">
        <w:rPr>
          <w:rFonts w:ascii="Times New Roman" w:hAnsi="Times New Roman" w:cs="Times New Roman"/>
          <w:sz w:val="24"/>
          <w:szCs w:val="24"/>
          <w:lang w:val="es-CL"/>
        </w:rPr>
        <w:t>proyecciones,</w:t>
      </w:r>
      <w:r w:rsidRPr="007D2E18">
        <w:rPr>
          <w:rFonts w:ascii="Times New Roman" w:hAnsi="Times New Roman" w:cs="Times New Roman"/>
          <w:sz w:val="24"/>
          <w:szCs w:val="24"/>
          <w:lang w:val="es-CL"/>
        </w:rPr>
        <w:t xml:space="preserve"> y la dispersión </w:t>
      </w:r>
      <w:r w:rsidR="0044144F" w:rsidRPr="007D2E18">
        <w:rPr>
          <w:rFonts w:ascii="Times New Roman" w:hAnsi="Times New Roman" w:cs="Times New Roman"/>
          <w:sz w:val="24"/>
          <w:szCs w:val="24"/>
          <w:lang w:val="es-CL"/>
        </w:rPr>
        <w:t>en torno a esas proyecciones</w:t>
      </w:r>
      <w:r w:rsidRPr="007D2E18">
        <w:rPr>
          <w:rFonts w:ascii="Times New Roman" w:hAnsi="Times New Roman" w:cs="Times New Roman"/>
          <w:sz w:val="24"/>
          <w:szCs w:val="24"/>
          <w:lang w:val="es-CL"/>
        </w:rPr>
        <w:t xml:space="preserve">. </w:t>
      </w:r>
      <w:r w:rsidR="0044144F" w:rsidRPr="007D2E18">
        <w:rPr>
          <w:rFonts w:ascii="Times New Roman" w:hAnsi="Times New Roman" w:cs="Times New Roman"/>
          <w:sz w:val="24"/>
          <w:szCs w:val="24"/>
          <w:lang w:val="es-CL"/>
        </w:rPr>
        <w:t>N</w:t>
      </w:r>
      <w:r w:rsidRPr="007D2E18">
        <w:rPr>
          <w:rFonts w:ascii="Times New Roman" w:hAnsi="Times New Roman" w:cs="Times New Roman"/>
          <w:sz w:val="24"/>
          <w:szCs w:val="24"/>
          <w:lang w:val="es-CL"/>
        </w:rPr>
        <w:t xml:space="preserve">otablemente, al separar entre las noticias de la OPEP y las </w:t>
      </w:r>
      <w:r w:rsidR="0044144F" w:rsidRPr="007D2E18">
        <w:rPr>
          <w:rFonts w:ascii="Times New Roman" w:hAnsi="Times New Roman" w:cs="Times New Roman"/>
          <w:sz w:val="24"/>
          <w:szCs w:val="24"/>
          <w:lang w:val="es-CL"/>
        </w:rPr>
        <w:t xml:space="preserve">no </w:t>
      </w:r>
      <w:r w:rsidRPr="007D2E18">
        <w:rPr>
          <w:rFonts w:ascii="Times New Roman" w:hAnsi="Times New Roman" w:cs="Times New Roman"/>
          <w:sz w:val="24"/>
          <w:szCs w:val="24"/>
          <w:lang w:val="es-CL"/>
        </w:rPr>
        <w:t xml:space="preserve">OPEP, encontramos que las primeras afectan las </w:t>
      </w:r>
      <w:r w:rsidR="0044144F" w:rsidRPr="007D2E18">
        <w:rPr>
          <w:rFonts w:ascii="Times New Roman" w:hAnsi="Times New Roman" w:cs="Times New Roman"/>
          <w:sz w:val="24"/>
          <w:szCs w:val="24"/>
          <w:lang w:val="es-CL"/>
        </w:rPr>
        <w:t>proyecciones</w:t>
      </w:r>
      <w:r w:rsidRPr="007D2E18">
        <w:rPr>
          <w:rFonts w:ascii="Times New Roman" w:hAnsi="Times New Roman" w:cs="Times New Roman"/>
          <w:sz w:val="24"/>
          <w:szCs w:val="24"/>
          <w:lang w:val="es-CL"/>
        </w:rPr>
        <w:t xml:space="preserve"> del precio del petróleo y su consenso y</w:t>
      </w:r>
      <w:r w:rsidR="0044144F" w:rsidRPr="007D2E18">
        <w:rPr>
          <w:rFonts w:ascii="Times New Roman" w:hAnsi="Times New Roman" w:cs="Times New Roman"/>
          <w:sz w:val="24"/>
          <w:szCs w:val="24"/>
          <w:lang w:val="es-CL"/>
        </w:rPr>
        <w:t xml:space="preserve"> que,</w:t>
      </w:r>
      <w:r w:rsidRPr="007D2E18">
        <w:rPr>
          <w:rFonts w:ascii="Times New Roman" w:hAnsi="Times New Roman" w:cs="Times New Roman"/>
          <w:sz w:val="24"/>
          <w:szCs w:val="24"/>
          <w:lang w:val="es-CL"/>
        </w:rPr>
        <w:t xml:space="preserve"> al mismo tiempo, el precio actual del petróleo </w:t>
      </w:r>
      <w:r w:rsidR="00841D16" w:rsidRPr="007D2E18">
        <w:rPr>
          <w:rFonts w:ascii="Times New Roman" w:hAnsi="Times New Roman" w:cs="Times New Roman"/>
          <w:sz w:val="24"/>
          <w:szCs w:val="24"/>
          <w:lang w:val="es-CL"/>
        </w:rPr>
        <w:t>afecta</w:t>
      </w:r>
      <w:r w:rsidRPr="007D2E18">
        <w:rPr>
          <w:rFonts w:ascii="Times New Roman" w:hAnsi="Times New Roman" w:cs="Times New Roman"/>
          <w:sz w:val="24"/>
          <w:szCs w:val="24"/>
          <w:lang w:val="es-CL"/>
        </w:rPr>
        <w:t xml:space="preserve"> las noticias en los países de la OPEP.</w:t>
      </w:r>
      <w:r w:rsidR="00E34CC2" w:rsidRPr="007D2E18">
        <w:rPr>
          <w:rFonts w:ascii="Times New Roman" w:hAnsi="Times New Roman" w:cs="Times New Roman"/>
          <w:sz w:val="24"/>
          <w:szCs w:val="24"/>
          <w:lang w:val="es-CL"/>
        </w:rPr>
        <w:t xml:space="preserve"> </w:t>
      </w:r>
      <w:r w:rsidRPr="007D2E18">
        <w:rPr>
          <w:rFonts w:ascii="Times New Roman" w:hAnsi="Times New Roman" w:cs="Times New Roman"/>
          <w:sz w:val="24"/>
          <w:szCs w:val="24"/>
          <w:lang w:val="es-CL"/>
        </w:rPr>
        <w:t>Además, las noticias no OPEP afectan el nivel actual y futuro del precio del petróleo</w:t>
      </w:r>
      <w:r w:rsidR="0044144F" w:rsidRPr="007D2E18">
        <w:rPr>
          <w:rFonts w:ascii="Times New Roman" w:hAnsi="Times New Roman" w:cs="Times New Roman"/>
          <w:sz w:val="24"/>
          <w:szCs w:val="24"/>
          <w:lang w:val="es-CL"/>
        </w:rPr>
        <w:t>,</w:t>
      </w:r>
      <w:r w:rsidRPr="007D2E18">
        <w:rPr>
          <w:rFonts w:ascii="Times New Roman" w:hAnsi="Times New Roman" w:cs="Times New Roman"/>
          <w:sz w:val="24"/>
          <w:szCs w:val="24"/>
          <w:lang w:val="es-CL"/>
        </w:rPr>
        <w:t xml:space="preserve"> y ni el pronóstico ni la dispersión de esos pronósticos se ven afectados por el nivel</w:t>
      </w:r>
      <w:r w:rsidR="0044144F" w:rsidRPr="007D2E18">
        <w:rPr>
          <w:rFonts w:ascii="Times New Roman" w:hAnsi="Times New Roman" w:cs="Times New Roman"/>
          <w:sz w:val="24"/>
          <w:szCs w:val="24"/>
          <w:lang w:val="es-CL"/>
        </w:rPr>
        <w:t xml:space="preserve"> actual</w:t>
      </w:r>
      <w:r w:rsidRPr="007D2E18">
        <w:rPr>
          <w:rFonts w:ascii="Times New Roman" w:hAnsi="Times New Roman" w:cs="Times New Roman"/>
          <w:sz w:val="24"/>
          <w:szCs w:val="24"/>
          <w:lang w:val="es-CL"/>
        </w:rPr>
        <w:t xml:space="preserve">. Todos estos resultados implican que las tensiones geopolíticas en un sentido más amplio afectan </w:t>
      </w:r>
      <w:r w:rsidR="0044144F" w:rsidRPr="007D2E18">
        <w:rPr>
          <w:rFonts w:ascii="Times New Roman" w:hAnsi="Times New Roman" w:cs="Times New Roman"/>
          <w:sz w:val="24"/>
          <w:szCs w:val="24"/>
          <w:lang w:val="es-CL"/>
        </w:rPr>
        <w:t>el</w:t>
      </w:r>
      <w:r w:rsidRPr="007D2E18">
        <w:rPr>
          <w:rFonts w:ascii="Times New Roman" w:hAnsi="Times New Roman" w:cs="Times New Roman"/>
          <w:sz w:val="24"/>
          <w:szCs w:val="24"/>
          <w:lang w:val="es-CL"/>
        </w:rPr>
        <w:t xml:space="preserve"> precio del petróleo, y </w:t>
      </w:r>
      <w:r w:rsidR="0044144F" w:rsidRPr="007D2E18">
        <w:rPr>
          <w:rFonts w:ascii="Times New Roman" w:hAnsi="Times New Roman" w:cs="Times New Roman"/>
          <w:sz w:val="24"/>
          <w:szCs w:val="24"/>
          <w:lang w:val="es-CL"/>
        </w:rPr>
        <w:t xml:space="preserve">que </w:t>
      </w:r>
      <w:r w:rsidRPr="007D2E18">
        <w:rPr>
          <w:rFonts w:ascii="Times New Roman" w:hAnsi="Times New Roman" w:cs="Times New Roman"/>
          <w:sz w:val="24"/>
          <w:szCs w:val="24"/>
          <w:lang w:val="es-CL"/>
        </w:rPr>
        <w:t xml:space="preserve">las noticias OPEP deben leerse conjuntamente con otras tensiones geopolíticas como </w:t>
      </w:r>
      <w:r w:rsidR="0044144F" w:rsidRPr="007D2E18">
        <w:rPr>
          <w:rFonts w:ascii="Times New Roman" w:hAnsi="Times New Roman" w:cs="Times New Roman"/>
          <w:sz w:val="24"/>
          <w:szCs w:val="24"/>
          <w:lang w:val="es-CL"/>
        </w:rPr>
        <w:t>determinantes</w:t>
      </w:r>
      <w:r w:rsidRPr="007D2E18">
        <w:rPr>
          <w:rFonts w:ascii="Times New Roman" w:hAnsi="Times New Roman" w:cs="Times New Roman"/>
          <w:sz w:val="24"/>
          <w:szCs w:val="24"/>
          <w:lang w:val="es-CL"/>
        </w:rPr>
        <w:t xml:space="preserve"> de</w:t>
      </w:r>
      <w:r w:rsidR="0044144F" w:rsidRPr="007D2E18">
        <w:rPr>
          <w:rFonts w:ascii="Times New Roman" w:hAnsi="Times New Roman" w:cs="Times New Roman"/>
          <w:sz w:val="24"/>
          <w:szCs w:val="24"/>
          <w:lang w:val="es-CL"/>
        </w:rPr>
        <w:t>l</w:t>
      </w:r>
      <w:r w:rsidRPr="007D2E18">
        <w:rPr>
          <w:rFonts w:ascii="Times New Roman" w:hAnsi="Times New Roman" w:cs="Times New Roman"/>
          <w:sz w:val="24"/>
          <w:szCs w:val="24"/>
          <w:lang w:val="es-CL"/>
        </w:rPr>
        <w:t xml:space="preserve"> precio del petróleo, y no como un generador de noticias aislado afecta</w:t>
      </w:r>
      <w:r w:rsidR="0044144F" w:rsidRPr="007D2E18">
        <w:rPr>
          <w:rFonts w:ascii="Times New Roman" w:hAnsi="Times New Roman" w:cs="Times New Roman"/>
          <w:sz w:val="24"/>
          <w:szCs w:val="24"/>
          <w:lang w:val="es-CL"/>
        </w:rPr>
        <w:t>ndo</w:t>
      </w:r>
      <w:r w:rsidRPr="007D2E18">
        <w:rPr>
          <w:rFonts w:ascii="Times New Roman" w:hAnsi="Times New Roman" w:cs="Times New Roman"/>
          <w:sz w:val="24"/>
          <w:szCs w:val="24"/>
          <w:lang w:val="es-CL"/>
        </w:rPr>
        <w:t xml:space="preserve"> </w:t>
      </w:r>
      <w:r w:rsidR="0044144F" w:rsidRPr="007D2E18">
        <w:rPr>
          <w:rFonts w:ascii="Times New Roman" w:hAnsi="Times New Roman" w:cs="Times New Roman"/>
          <w:sz w:val="24"/>
          <w:szCs w:val="24"/>
          <w:lang w:val="es-CL"/>
        </w:rPr>
        <w:t>el</w:t>
      </w:r>
      <w:r w:rsidRPr="007D2E18">
        <w:rPr>
          <w:rFonts w:ascii="Times New Roman" w:hAnsi="Times New Roman" w:cs="Times New Roman"/>
          <w:sz w:val="24"/>
          <w:szCs w:val="24"/>
          <w:lang w:val="es-CL"/>
        </w:rPr>
        <w:t xml:space="preserve"> precio del petróleo. Esto debilita la hipótesis de la OPEP como un </w:t>
      </w:r>
      <w:r w:rsidR="00E34CC2" w:rsidRPr="007D2E18">
        <w:rPr>
          <w:rFonts w:ascii="Times New Roman" w:hAnsi="Times New Roman" w:cs="Times New Roman"/>
          <w:sz w:val="24"/>
          <w:szCs w:val="24"/>
          <w:lang w:val="es-CL"/>
        </w:rPr>
        <w:t xml:space="preserve">fijador </w:t>
      </w:r>
      <w:r w:rsidRPr="007D2E18">
        <w:rPr>
          <w:rFonts w:ascii="Times New Roman" w:hAnsi="Times New Roman" w:cs="Times New Roman"/>
          <w:sz w:val="24"/>
          <w:szCs w:val="24"/>
          <w:lang w:val="es-CL"/>
        </w:rPr>
        <w:t xml:space="preserve">de precios en el mercado mundial del petróleo cuyo comportamiento, a su vez, parece ser </w:t>
      </w:r>
      <w:r w:rsidR="00E34CC2" w:rsidRPr="007D2E18">
        <w:rPr>
          <w:rFonts w:ascii="Times New Roman" w:hAnsi="Times New Roman" w:cs="Times New Roman"/>
          <w:sz w:val="24"/>
          <w:szCs w:val="24"/>
          <w:lang w:val="es-CL"/>
        </w:rPr>
        <w:t>relevante</w:t>
      </w:r>
      <w:r w:rsidRPr="007D2E18">
        <w:rPr>
          <w:rFonts w:ascii="Times New Roman" w:hAnsi="Times New Roman" w:cs="Times New Roman"/>
          <w:sz w:val="24"/>
          <w:szCs w:val="24"/>
          <w:lang w:val="es-CL"/>
        </w:rPr>
        <w:t xml:space="preserve"> para los pronosticadores. Estos resultados son importantes, </w:t>
      </w:r>
      <w:r w:rsidR="00E34CC2" w:rsidRPr="007D2E18">
        <w:rPr>
          <w:rFonts w:ascii="Times New Roman" w:hAnsi="Times New Roman" w:cs="Times New Roman"/>
          <w:sz w:val="24"/>
          <w:szCs w:val="24"/>
          <w:lang w:val="es-CL"/>
        </w:rPr>
        <w:t xml:space="preserve">sugiriendo </w:t>
      </w:r>
      <w:r w:rsidRPr="007D2E18">
        <w:rPr>
          <w:rFonts w:ascii="Times New Roman" w:hAnsi="Times New Roman" w:cs="Times New Roman"/>
          <w:sz w:val="24"/>
          <w:szCs w:val="24"/>
          <w:lang w:val="es-CL"/>
        </w:rPr>
        <w:t xml:space="preserve">que, para realizar un seguimiento de la dinámica de los precios del petróleo, se debe tener en cuenta un contexto más general de tensiones geopolíticas más allá de los países de la OPEP, </w:t>
      </w:r>
      <w:r w:rsidR="00E34CC2" w:rsidRPr="007D2E18">
        <w:rPr>
          <w:rFonts w:ascii="Times New Roman" w:hAnsi="Times New Roman" w:cs="Times New Roman"/>
          <w:sz w:val="24"/>
          <w:szCs w:val="24"/>
          <w:lang w:val="es-CL"/>
        </w:rPr>
        <w:t>apoy</w:t>
      </w:r>
      <w:r w:rsidRPr="007D2E18">
        <w:rPr>
          <w:rFonts w:ascii="Times New Roman" w:hAnsi="Times New Roman" w:cs="Times New Roman"/>
          <w:sz w:val="24"/>
          <w:szCs w:val="24"/>
          <w:lang w:val="es-CL"/>
        </w:rPr>
        <w:t>ándose en señales y externalidades que no se basan necesariamente en la lógica económica.</w:t>
      </w:r>
    </w:p>
    <w:p w14:paraId="4E8F8FC6" w14:textId="77777777" w:rsidR="00A34A05" w:rsidRPr="007D2E18" w:rsidRDefault="00A34A05" w:rsidP="00A34A05">
      <w:pPr>
        <w:spacing w:after="0" w:line="240" w:lineRule="auto"/>
        <w:jc w:val="both"/>
        <w:rPr>
          <w:rFonts w:ascii="Times New Roman" w:hAnsi="Times New Roman" w:cs="Times New Roman"/>
          <w:sz w:val="24"/>
          <w:szCs w:val="24"/>
          <w:lang w:val="es-CL"/>
        </w:rPr>
      </w:pPr>
    </w:p>
    <w:p w14:paraId="706D850A" w14:textId="748B8F3F" w:rsidR="00A34A05" w:rsidRPr="007D2E18" w:rsidRDefault="00A34A05" w:rsidP="00A34A05">
      <w:pPr>
        <w:spacing w:after="0" w:line="240" w:lineRule="auto"/>
        <w:ind w:left="720"/>
        <w:jc w:val="both"/>
        <w:rPr>
          <w:rFonts w:ascii="Times New Roman" w:hAnsi="Times New Roman" w:cs="Times New Roman"/>
          <w:sz w:val="24"/>
          <w:szCs w:val="24"/>
          <w:lang w:val="es-CL"/>
        </w:rPr>
      </w:pPr>
      <w:r w:rsidRPr="007D2E18">
        <w:rPr>
          <w:rFonts w:ascii="Times New Roman" w:hAnsi="Times New Roman" w:cs="Times New Roman"/>
          <w:sz w:val="24"/>
          <w:szCs w:val="24"/>
          <w:lang w:val="es-CL"/>
        </w:rPr>
        <w:t xml:space="preserve">Códigos JEL: </w:t>
      </w:r>
      <w:r w:rsidRPr="007D2E18">
        <w:rPr>
          <w:rFonts w:ascii="Times New Roman" w:hAnsi="Times New Roman" w:cs="Times New Roman"/>
          <w:i/>
          <w:iCs/>
          <w:sz w:val="24"/>
          <w:szCs w:val="24"/>
          <w:lang w:val="es-CL"/>
        </w:rPr>
        <w:t>C12</w:t>
      </w:r>
      <w:r w:rsidRPr="007D2E18">
        <w:rPr>
          <w:rFonts w:ascii="Times New Roman" w:hAnsi="Times New Roman" w:cs="Times New Roman"/>
          <w:sz w:val="24"/>
          <w:szCs w:val="24"/>
          <w:lang w:val="es-CL"/>
        </w:rPr>
        <w:t xml:space="preserve">; </w:t>
      </w:r>
      <w:r w:rsidRPr="007D2E18">
        <w:rPr>
          <w:rFonts w:ascii="Times New Roman" w:hAnsi="Times New Roman" w:cs="Times New Roman"/>
          <w:i/>
          <w:iCs/>
          <w:sz w:val="24"/>
          <w:szCs w:val="24"/>
          <w:lang w:val="es-CL"/>
        </w:rPr>
        <w:t>C22</w:t>
      </w:r>
      <w:r w:rsidRPr="007D2E18">
        <w:rPr>
          <w:rFonts w:ascii="Times New Roman" w:hAnsi="Times New Roman" w:cs="Times New Roman"/>
          <w:sz w:val="24"/>
          <w:szCs w:val="24"/>
          <w:lang w:val="es-CL"/>
        </w:rPr>
        <w:t xml:space="preserve">; </w:t>
      </w:r>
      <w:r w:rsidRPr="007D2E18">
        <w:rPr>
          <w:rFonts w:ascii="Times New Roman" w:hAnsi="Times New Roman" w:cs="Times New Roman"/>
          <w:i/>
          <w:iCs/>
          <w:sz w:val="24"/>
          <w:szCs w:val="24"/>
          <w:lang w:val="es-CL"/>
        </w:rPr>
        <w:t>E66</w:t>
      </w:r>
      <w:r w:rsidRPr="007D2E18">
        <w:rPr>
          <w:rFonts w:ascii="Times New Roman" w:hAnsi="Times New Roman" w:cs="Times New Roman"/>
          <w:sz w:val="24"/>
          <w:szCs w:val="24"/>
          <w:lang w:val="es-CL"/>
        </w:rPr>
        <w:t xml:space="preserve">; </w:t>
      </w:r>
      <w:r w:rsidRPr="007D2E18">
        <w:rPr>
          <w:rFonts w:ascii="Times New Roman" w:hAnsi="Times New Roman" w:cs="Times New Roman"/>
          <w:i/>
          <w:iCs/>
          <w:sz w:val="24"/>
          <w:szCs w:val="24"/>
          <w:lang w:val="es-CL"/>
        </w:rPr>
        <w:t>Q41</w:t>
      </w:r>
      <w:r w:rsidRPr="007D2E18">
        <w:rPr>
          <w:rFonts w:ascii="Times New Roman" w:hAnsi="Times New Roman" w:cs="Times New Roman"/>
          <w:sz w:val="24"/>
          <w:szCs w:val="24"/>
          <w:lang w:val="es-CL"/>
        </w:rPr>
        <w:t>.</w:t>
      </w:r>
    </w:p>
    <w:p w14:paraId="29034871" w14:textId="77777777" w:rsidR="00A34A05" w:rsidRPr="007D2E18" w:rsidRDefault="00A34A05" w:rsidP="00A34A05">
      <w:pPr>
        <w:spacing w:after="0" w:line="240" w:lineRule="auto"/>
        <w:ind w:left="720"/>
        <w:jc w:val="both"/>
        <w:rPr>
          <w:rFonts w:ascii="Times New Roman" w:hAnsi="Times New Roman" w:cs="Times New Roman"/>
          <w:sz w:val="24"/>
          <w:szCs w:val="24"/>
          <w:lang w:val="es-CL"/>
        </w:rPr>
      </w:pPr>
    </w:p>
    <w:p w14:paraId="5FD505BD" w14:textId="77F26128" w:rsidR="00435A95" w:rsidRPr="007D2E18" w:rsidRDefault="00A34A05" w:rsidP="00A34A05">
      <w:pPr>
        <w:spacing w:after="0" w:line="240" w:lineRule="auto"/>
        <w:ind w:left="720"/>
        <w:jc w:val="both"/>
        <w:rPr>
          <w:rFonts w:ascii="Times New Roman" w:hAnsi="Times New Roman" w:cs="Times New Roman"/>
          <w:sz w:val="24"/>
          <w:szCs w:val="24"/>
          <w:lang w:val="es-CL"/>
        </w:rPr>
      </w:pPr>
      <w:r w:rsidRPr="007D2E18">
        <w:rPr>
          <w:rFonts w:ascii="Times New Roman" w:hAnsi="Times New Roman" w:cs="Times New Roman"/>
          <w:sz w:val="24"/>
          <w:szCs w:val="24"/>
          <w:lang w:val="es-CL"/>
        </w:rPr>
        <w:t xml:space="preserve">Palabras clave: </w:t>
      </w:r>
      <w:r w:rsidRPr="007D2E18">
        <w:rPr>
          <w:rFonts w:ascii="Times New Roman" w:hAnsi="Times New Roman" w:cs="Times New Roman"/>
          <w:i/>
          <w:iCs/>
          <w:sz w:val="24"/>
          <w:szCs w:val="24"/>
          <w:lang w:val="es-CL"/>
        </w:rPr>
        <w:t>países productores de petróleo</w:t>
      </w:r>
      <w:r w:rsidRPr="007D2E18">
        <w:rPr>
          <w:rFonts w:ascii="Times New Roman" w:hAnsi="Times New Roman" w:cs="Times New Roman"/>
          <w:sz w:val="24"/>
          <w:szCs w:val="24"/>
          <w:lang w:val="es-CL"/>
        </w:rPr>
        <w:t xml:space="preserve">; </w:t>
      </w:r>
      <w:r w:rsidRPr="007D2E18">
        <w:rPr>
          <w:rFonts w:ascii="Times New Roman" w:hAnsi="Times New Roman" w:cs="Times New Roman"/>
          <w:i/>
          <w:iCs/>
          <w:sz w:val="24"/>
          <w:szCs w:val="24"/>
          <w:lang w:val="es-CL"/>
        </w:rPr>
        <w:t>OPEP</w:t>
      </w:r>
      <w:r w:rsidRPr="007D2E18">
        <w:rPr>
          <w:rFonts w:ascii="Times New Roman" w:hAnsi="Times New Roman" w:cs="Times New Roman"/>
          <w:sz w:val="24"/>
          <w:szCs w:val="24"/>
          <w:lang w:val="es-CL"/>
        </w:rPr>
        <w:t xml:space="preserve">; </w:t>
      </w:r>
      <w:r w:rsidRPr="007D2E18">
        <w:rPr>
          <w:rFonts w:ascii="Times New Roman" w:hAnsi="Times New Roman" w:cs="Times New Roman"/>
          <w:i/>
          <w:iCs/>
          <w:sz w:val="24"/>
          <w:szCs w:val="24"/>
          <w:lang w:val="es-CL"/>
        </w:rPr>
        <w:t>precio del petróleo</w:t>
      </w:r>
      <w:r w:rsidRPr="007D2E18">
        <w:rPr>
          <w:rFonts w:ascii="Times New Roman" w:hAnsi="Times New Roman" w:cs="Times New Roman"/>
          <w:sz w:val="24"/>
          <w:szCs w:val="24"/>
          <w:lang w:val="es-CL"/>
        </w:rPr>
        <w:t xml:space="preserve">; </w:t>
      </w:r>
      <w:r w:rsidRPr="007D2E18">
        <w:rPr>
          <w:rFonts w:ascii="Times New Roman" w:hAnsi="Times New Roman" w:cs="Times New Roman"/>
          <w:i/>
          <w:iCs/>
          <w:sz w:val="24"/>
          <w:szCs w:val="24"/>
          <w:lang w:val="es-CL"/>
        </w:rPr>
        <w:t>causalidad de Granger</w:t>
      </w:r>
      <w:r w:rsidRPr="007D2E18">
        <w:rPr>
          <w:rFonts w:ascii="Times New Roman" w:hAnsi="Times New Roman" w:cs="Times New Roman"/>
          <w:sz w:val="24"/>
          <w:szCs w:val="24"/>
          <w:lang w:val="es-CL"/>
        </w:rPr>
        <w:t>.</w:t>
      </w:r>
    </w:p>
    <w:p w14:paraId="56690852" w14:textId="77777777" w:rsidR="00435A95" w:rsidRPr="007D2E18" w:rsidRDefault="00435A95" w:rsidP="00A456AE">
      <w:pPr>
        <w:spacing w:after="0" w:line="240" w:lineRule="auto"/>
        <w:jc w:val="both"/>
        <w:rPr>
          <w:rFonts w:ascii="Times New Roman" w:hAnsi="Times New Roman" w:cs="Times New Roman"/>
          <w:sz w:val="24"/>
          <w:szCs w:val="24"/>
          <w:lang w:val="en-GB"/>
        </w:rPr>
      </w:pPr>
    </w:p>
    <w:p w14:paraId="73D27C90" w14:textId="4FC9CF43" w:rsidR="0085000C" w:rsidRPr="007D2E18" w:rsidRDefault="00CC6F9C" w:rsidP="00CC6F9C">
      <w:pPr>
        <w:pStyle w:val="Prrafodelista"/>
        <w:numPr>
          <w:ilvl w:val="0"/>
          <w:numId w:val="1"/>
        </w:numPr>
        <w:spacing w:after="0" w:line="240" w:lineRule="auto"/>
        <w:jc w:val="both"/>
        <w:rPr>
          <w:rFonts w:ascii="Times New Roman" w:hAnsi="Times New Roman" w:cs="Times New Roman"/>
          <w:b/>
          <w:bCs/>
          <w:sz w:val="24"/>
          <w:szCs w:val="24"/>
          <w:lang w:val="en-GB"/>
        </w:rPr>
      </w:pPr>
      <w:r w:rsidRPr="007D2E18">
        <w:rPr>
          <w:rFonts w:ascii="Times New Roman" w:hAnsi="Times New Roman" w:cs="Times New Roman"/>
          <w:b/>
          <w:bCs/>
          <w:sz w:val="24"/>
          <w:szCs w:val="24"/>
          <w:lang w:val="en-GB"/>
        </w:rPr>
        <w:t>INTRODUCTION</w:t>
      </w:r>
    </w:p>
    <w:p w14:paraId="6D019AD1" w14:textId="77777777" w:rsidR="0085000C" w:rsidRPr="007D2E18" w:rsidRDefault="0085000C" w:rsidP="00A456AE">
      <w:pPr>
        <w:spacing w:after="0" w:line="240" w:lineRule="auto"/>
        <w:jc w:val="both"/>
        <w:rPr>
          <w:rFonts w:ascii="Times New Roman" w:hAnsi="Times New Roman" w:cs="Times New Roman"/>
          <w:sz w:val="24"/>
          <w:szCs w:val="24"/>
          <w:lang w:val="en-GB"/>
        </w:rPr>
      </w:pPr>
    </w:p>
    <w:p w14:paraId="51C0387E" w14:textId="77777777" w:rsidR="000300ED"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Crude oil and its processed liquids have been the most essential commodities traded worldwide during the last half-century. Its undoubted importance is owed to, among other reasons, early massive specific investments and the development of technologies using it as a primary fuel, particularly in the automobile and transport sectors in general. The long-lasting oil dependence of the largest economies of the world, added to a certain degree of geographic concentration and cultural cohesion of some of the biggest oil-producing countries which, at the same time, suffer high political instability threats and uprisings, carry particular and specific features associated to this massive, global market.</w:t>
      </w:r>
    </w:p>
    <w:p w14:paraId="100F98EA" w14:textId="77777777" w:rsidR="000300ED" w:rsidRPr="007D2E18" w:rsidRDefault="000300ED" w:rsidP="00A456AE">
      <w:pPr>
        <w:spacing w:after="0" w:line="240" w:lineRule="auto"/>
        <w:jc w:val="both"/>
        <w:rPr>
          <w:rFonts w:ascii="Times New Roman" w:hAnsi="Times New Roman" w:cs="Times New Roman"/>
          <w:sz w:val="24"/>
          <w:szCs w:val="24"/>
          <w:lang w:val="en-GB"/>
        </w:rPr>
      </w:pPr>
    </w:p>
    <w:p w14:paraId="584B3D2C" w14:textId="56442A17" w:rsidR="000300ED" w:rsidRPr="007D2E18" w:rsidRDefault="00CC6F9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lastRenderedPageBreak/>
        <w:t>T</w:t>
      </w:r>
      <w:r w:rsidR="0085000C" w:rsidRPr="007D2E18">
        <w:rPr>
          <w:rFonts w:ascii="Times New Roman" w:hAnsi="Times New Roman" w:cs="Times New Roman"/>
          <w:sz w:val="24"/>
          <w:szCs w:val="24"/>
          <w:lang w:val="en-GB"/>
        </w:rPr>
        <w:t>o these geopolitically-based externalities, there is the existence of the Organisation of the Petroleum Exporting Countries (OPEC) compounded by 14 states primarily located in the Middle East and Africa.</w:t>
      </w:r>
      <w:r w:rsidRPr="007D2E18">
        <w:rPr>
          <w:rStyle w:val="Refdenotaalpie"/>
          <w:rFonts w:ascii="Times New Roman" w:hAnsi="Times New Roman" w:cs="Times New Roman"/>
          <w:sz w:val="24"/>
          <w:szCs w:val="24"/>
          <w:lang w:val="en-GB"/>
        </w:rPr>
        <w:footnoteReference w:id="4"/>
      </w:r>
      <w:r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 xml:space="preserve">Its main aim is </w:t>
      </w:r>
      <w:r w:rsidR="00435A95"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to coordinate and unify policies of its member countries,</w:t>
      </w:r>
      <w:r w:rsidR="00435A95"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ensuring </w:t>
      </w:r>
      <w:r w:rsidR="00435A95"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a fair return on capital for those investing in the petroleum industry</w:t>
      </w:r>
      <w:r w:rsidR="00435A95"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(OPEC, 2012). This leads to think of OPEC as convenor into setting quotas and carrying the unpleasant label of a worldwide recognised cartel (see Gülen, 1996; Griffin and Xiong, 1997; Jones, 1990; Kaufmann et al., 2004, and Brémond et al., 2012, for details). Some other big market players such as Brazil, Canada, China, Mexico, Russia, and the United States are not OPEC members and coincide with a record of, on average, less political tensions, threats, and realisations in the last decades. Thus, it is relevant to delve into the particular effect of unexpected geopolitical tensions and news related to major oil producers and disentangling the news related to OPEC on oil prices within a wider environment of threats, tensions, political instability, and oil supply news.</w:t>
      </w:r>
    </w:p>
    <w:p w14:paraId="36498063" w14:textId="77777777" w:rsidR="000300ED" w:rsidRPr="007D2E18" w:rsidRDefault="000300ED" w:rsidP="00A456AE">
      <w:pPr>
        <w:spacing w:after="0" w:line="240" w:lineRule="auto"/>
        <w:jc w:val="both"/>
        <w:rPr>
          <w:rFonts w:ascii="Times New Roman" w:hAnsi="Times New Roman" w:cs="Times New Roman"/>
          <w:sz w:val="24"/>
          <w:szCs w:val="24"/>
          <w:lang w:val="en-GB"/>
        </w:rPr>
      </w:pPr>
    </w:p>
    <w:p w14:paraId="78077E87" w14:textId="59769BF2" w:rsidR="000300ED"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To that end, this article questions to what extent do geopolitical tensions, supply disturbances, and unexpected news in the OPEC and other major oil-producer countries affect oil price? Are oil price forecasters aware of these tensions? Do these tensions affect forecasters</w:t>
      </w:r>
      <w:r w:rsidR="00435A95"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 xml:space="preserve"> consensus when making their predictions? Is there a difference between news coming from OPEC countries versus other oil exporters?</w:t>
      </w:r>
    </w:p>
    <w:p w14:paraId="2B17F38D" w14:textId="77777777" w:rsidR="000300ED" w:rsidRPr="007D2E18" w:rsidRDefault="000300ED" w:rsidP="00A456AE">
      <w:pPr>
        <w:spacing w:after="0" w:line="240" w:lineRule="auto"/>
        <w:jc w:val="both"/>
        <w:rPr>
          <w:rFonts w:ascii="Times New Roman" w:hAnsi="Times New Roman" w:cs="Times New Roman"/>
          <w:sz w:val="24"/>
          <w:szCs w:val="24"/>
          <w:lang w:val="en-GB"/>
        </w:rPr>
      </w:pPr>
    </w:p>
    <w:p w14:paraId="1FCD2E76" w14:textId="528DF5B5" w:rsidR="000300ED"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We empirically test these hypotheses making use of a unique, purposely built media-based measure of geopolitical tensions accounting not only for supply crunches but also for expansions in the 2001-12 period, by means of Granger causality. Geopolitical tensions are defined as the risks posed by tensions between states that affect a peaceful course of relations, which can be composed of threats plus realisations such as riots, wars, or terrorist acts. However, our unique measure of tensions includes also news related to oil supply expansions</w:t>
      </w:r>
      <w:r w:rsidR="00435A95"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entering</w:t>
      </w:r>
      <w:r w:rsidR="00435A95" w:rsidRPr="007D2E18">
        <w:rPr>
          <w:rFonts w:ascii="Times New Roman" w:hAnsi="Times New Roman" w:cs="Times New Roman"/>
          <w:sz w:val="24"/>
          <w:szCs w:val="24"/>
          <w:lang w:val="en-GB"/>
        </w:rPr>
        <w:t xml:space="preserve"> </w:t>
      </w:r>
      <w:r w:rsidRPr="007D2E18">
        <w:rPr>
          <w:rFonts w:ascii="Times New Roman" w:hAnsi="Times New Roman" w:cs="Times New Roman"/>
          <w:sz w:val="24"/>
          <w:szCs w:val="24"/>
          <w:lang w:val="en-GB"/>
        </w:rPr>
        <w:t>with the corresponding opposite sign of geopolitical risks. This is the case of new announcements on discoveries and site exploration as well as public, explicit efforts to improve diplomatic relations between highly tensioned countries.</w:t>
      </w:r>
    </w:p>
    <w:p w14:paraId="41D1FF2F" w14:textId="77777777" w:rsidR="000300ED" w:rsidRPr="007D2E18" w:rsidRDefault="000300ED" w:rsidP="00A456AE">
      <w:pPr>
        <w:spacing w:after="0" w:line="240" w:lineRule="auto"/>
        <w:jc w:val="both"/>
        <w:rPr>
          <w:rFonts w:ascii="Times New Roman" w:hAnsi="Times New Roman" w:cs="Times New Roman"/>
          <w:sz w:val="24"/>
          <w:szCs w:val="24"/>
          <w:lang w:val="en-GB"/>
        </w:rPr>
      </w:pPr>
    </w:p>
    <w:p w14:paraId="783EF7C9" w14:textId="0AA24D3C" w:rsidR="000300ED"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Our measure is the result of adding (or subtracting when needed) 10 dummy variables associated with news relevant to the oil market as suggested by its sources (Bloomberg, </w:t>
      </w:r>
      <w:r w:rsidRPr="007D2E18">
        <w:rPr>
          <w:rFonts w:ascii="Times New Roman" w:hAnsi="Times New Roman" w:cs="Times New Roman"/>
          <w:i/>
          <w:iCs/>
          <w:sz w:val="24"/>
          <w:szCs w:val="24"/>
          <w:lang w:val="en-GB"/>
        </w:rPr>
        <w:t>The Wall Street Journal</w:t>
      </w:r>
      <w:r w:rsidRPr="007D2E18">
        <w:rPr>
          <w:rFonts w:ascii="Times New Roman" w:hAnsi="Times New Roman" w:cs="Times New Roman"/>
          <w:sz w:val="24"/>
          <w:szCs w:val="24"/>
          <w:lang w:val="en-GB"/>
        </w:rPr>
        <w:t xml:space="preserve">, </w:t>
      </w:r>
      <w:r w:rsidRPr="007D2E18">
        <w:rPr>
          <w:rFonts w:ascii="Times New Roman" w:hAnsi="Times New Roman" w:cs="Times New Roman"/>
          <w:i/>
          <w:iCs/>
          <w:sz w:val="24"/>
          <w:szCs w:val="24"/>
          <w:lang w:val="en-GB"/>
        </w:rPr>
        <w:t>Financial Times</w:t>
      </w:r>
      <w:r w:rsidRPr="007D2E18">
        <w:rPr>
          <w:rFonts w:ascii="Times New Roman" w:hAnsi="Times New Roman" w:cs="Times New Roman"/>
          <w:sz w:val="24"/>
          <w:szCs w:val="24"/>
          <w:lang w:val="en-GB"/>
        </w:rPr>
        <w:t xml:space="preserve">, and the </w:t>
      </w:r>
      <w:r w:rsidRPr="007D2E18">
        <w:rPr>
          <w:rFonts w:ascii="Times New Roman" w:hAnsi="Times New Roman" w:cs="Times New Roman"/>
          <w:i/>
          <w:iCs/>
          <w:sz w:val="24"/>
          <w:szCs w:val="24"/>
          <w:lang w:val="en-GB"/>
        </w:rPr>
        <w:t>United States Energy Information Administration</w:t>
      </w:r>
      <w:r w:rsidRPr="007D2E18">
        <w:rPr>
          <w:rFonts w:ascii="Times New Roman" w:hAnsi="Times New Roman" w:cs="Times New Roman"/>
          <w:sz w:val="24"/>
          <w:szCs w:val="24"/>
          <w:lang w:val="en-GB"/>
        </w:rPr>
        <w:t>). One of these dummy variables is exclusively referred to OPEC news</w:t>
      </w:r>
      <w:r w:rsidR="00435A95"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which</w:t>
      </w:r>
      <w:r w:rsidR="00435A95" w:rsidRPr="007D2E18">
        <w:rPr>
          <w:rFonts w:ascii="Times New Roman" w:hAnsi="Times New Roman" w:cs="Times New Roman"/>
          <w:sz w:val="24"/>
          <w:szCs w:val="24"/>
          <w:lang w:val="en-GB"/>
        </w:rPr>
        <w:t xml:space="preserve"> </w:t>
      </w:r>
      <w:r w:rsidRPr="007D2E18">
        <w:rPr>
          <w:rFonts w:ascii="Times New Roman" w:hAnsi="Times New Roman" w:cs="Times New Roman"/>
          <w:sz w:val="24"/>
          <w:szCs w:val="24"/>
          <w:lang w:val="en-GB"/>
        </w:rPr>
        <w:t>is composed by positive and negative integers. To stress out the informational content of the newly proposed geopolitical tensions and OPEC</w:t>
      </w:r>
      <w:r w:rsidR="00624E39"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s news measure, we analyse its effect not only on the current Brent oil price but also on its forecast and dispersion, as included in the Consensus Forecast survey.</w:t>
      </w:r>
    </w:p>
    <w:p w14:paraId="0F556C2F" w14:textId="77777777" w:rsidR="000300ED" w:rsidRPr="007D2E18" w:rsidRDefault="000300ED" w:rsidP="00A456AE">
      <w:pPr>
        <w:spacing w:after="0" w:line="240" w:lineRule="auto"/>
        <w:jc w:val="both"/>
        <w:rPr>
          <w:rFonts w:ascii="Times New Roman" w:hAnsi="Times New Roman" w:cs="Times New Roman"/>
          <w:sz w:val="24"/>
          <w:szCs w:val="24"/>
          <w:lang w:val="en-GB"/>
        </w:rPr>
      </w:pPr>
    </w:p>
    <w:p w14:paraId="40ADD6D2" w14:textId="22B4DB7F" w:rsidR="000300ED"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Three base hypotheses are examined and supported by testing the Granger causality the other way around to determine full independence or a feedback relationship between variables. The first hypothesis is if the overall (OPEC plus non-OPEC) geopolitical tensions and news Granger cause</w:t>
      </w:r>
      <w:r w:rsidR="00435A95" w:rsidRPr="007D2E18">
        <w:rPr>
          <w:rStyle w:val="Refdenotaalpie"/>
          <w:rFonts w:ascii="Times New Roman" w:hAnsi="Times New Roman" w:cs="Times New Roman"/>
          <w:sz w:val="24"/>
          <w:szCs w:val="24"/>
          <w:lang w:val="en-GB"/>
        </w:rPr>
        <w:footnoteReference w:id="5"/>
      </w:r>
      <w:r w:rsidR="00435A95" w:rsidRPr="007D2E18">
        <w:rPr>
          <w:rFonts w:ascii="Times New Roman" w:hAnsi="Times New Roman" w:cs="Times New Roman"/>
          <w:sz w:val="24"/>
          <w:szCs w:val="24"/>
          <w:lang w:val="en-GB"/>
        </w:rPr>
        <w:t xml:space="preserve"> </w:t>
      </w:r>
      <w:r w:rsidRPr="007D2E18">
        <w:rPr>
          <w:rFonts w:ascii="Times New Roman" w:hAnsi="Times New Roman" w:cs="Times New Roman"/>
          <w:sz w:val="24"/>
          <w:szCs w:val="24"/>
          <w:lang w:val="en-GB"/>
        </w:rPr>
        <w:t xml:space="preserve">current oil prices. The second hypothesis is if the same measure causes oil price forecasts, and a third one if the same occurs for forecast dispersion (consensus). If the geopolitical tensions and news measure is capturing well the timing and intensity of tensions, it is expected that this variable will cause all oil-related series. As a measure of unexpected events, and given the relevance of oil for mentioned exporting economies, it is allowed, however, that both forecasts and its dispersion could actually cause geopolitical tensions in a feedback </w:t>
      </w:r>
      <w:r w:rsidRPr="007D2E18">
        <w:rPr>
          <w:rFonts w:ascii="Times New Roman" w:hAnsi="Times New Roman" w:cs="Times New Roman"/>
          <w:sz w:val="24"/>
          <w:szCs w:val="24"/>
          <w:lang w:val="en-GB"/>
        </w:rPr>
        <w:lastRenderedPageBreak/>
        <w:t>sequence of processes. If this is not the case, the measure is completely exogenous and formed independent of the oil market, capturing well geopolitical tensions and unexpected news.</w:t>
      </w:r>
    </w:p>
    <w:p w14:paraId="59E09BFE" w14:textId="77777777" w:rsidR="000300ED" w:rsidRPr="007D2E18" w:rsidRDefault="000300ED" w:rsidP="00A456AE">
      <w:pPr>
        <w:spacing w:after="0" w:line="240" w:lineRule="auto"/>
        <w:jc w:val="both"/>
        <w:rPr>
          <w:rFonts w:ascii="Times New Roman" w:hAnsi="Times New Roman" w:cs="Times New Roman"/>
          <w:sz w:val="24"/>
          <w:szCs w:val="24"/>
          <w:lang w:val="en-GB"/>
        </w:rPr>
      </w:pPr>
    </w:p>
    <w:p w14:paraId="6FEF6C15" w14:textId="68171DD6" w:rsidR="000300ED"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We found evidence suggesting that overall geopolitical tensions and news affect the current level of oil price, its forecasts, and the dispersion (consensus) of those forecasts. More remarkably, when </w:t>
      </w:r>
      <w:r w:rsidR="000300ED" w:rsidRPr="007D2E18">
        <w:rPr>
          <w:rFonts w:ascii="Times New Roman" w:hAnsi="Times New Roman" w:cs="Times New Roman"/>
          <w:sz w:val="24"/>
          <w:szCs w:val="24"/>
          <w:lang w:val="en-GB"/>
        </w:rPr>
        <w:t>distinguishing</w:t>
      </w:r>
      <w:r w:rsidRPr="007D2E18">
        <w:rPr>
          <w:rFonts w:ascii="Times New Roman" w:hAnsi="Times New Roman" w:cs="Times New Roman"/>
          <w:sz w:val="24"/>
          <w:szCs w:val="24"/>
          <w:lang w:val="en-GB"/>
        </w:rPr>
        <w:t xml:space="preserve"> between OPEC versus non-OPEC news, we found that the former affect oil price forecasts and their consensus, and at the same time, the current oil price determines oil-based news in OPEC countries. Moreover, non-OPEC news affect the current and future oil price level and neither the forecast nor the dispersion of those forecasts its affected by the level. All these results imply that geopolitical tensions and news in a broader sense affect oil prices, and OPEC news should be read jointly with other geopolitical tensions as oil price drivers</w:t>
      </w:r>
      <w:r w:rsidR="000300ED"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and</w:t>
      </w:r>
      <w:r w:rsidR="000300ED" w:rsidRPr="007D2E18">
        <w:rPr>
          <w:rFonts w:ascii="Times New Roman" w:hAnsi="Times New Roman" w:cs="Times New Roman"/>
          <w:sz w:val="24"/>
          <w:szCs w:val="24"/>
          <w:lang w:val="en-GB"/>
        </w:rPr>
        <w:t xml:space="preserve"> </w:t>
      </w:r>
      <w:r w:rsidRPr="007D2E18">
        <w:rPr>
          <w:rFonts w:ascii="Times New Roman" w:hAnsi="Times New Roman" w:cs="Times New Roman"/>
          <w:sz w:val="24"/>
          <w:szCs w:val="24"/>
          <w:lang w:val="en-GB"/>
        </w:rPr>
        <w:t>not as an isolated news generator. This weakens the hypothesis of OPEC as a price setter in the global oil market whose behaviour, in turn, seems a matter for forecasters. Moreover, it is the current oil price which affects the OPEC-based news. Some similar qualitative results are found in Alhajji and Huettner (2000), Smith (2005), and Almoguera et al. (2011) when analysing OPEC behaviour.</w:t>
      </w:r>
    </w:p>
    <w:p w14:paraId="0DB90BB8" w14:textId="77777777" w:rsidR="000300ED" w:rsidRPr="007D2E18" w:rsidRDefault="000300ED" w:rsidP="00A456AE">
      <w:pPr>
        <w:spacing w:after="0" w:line="240" w:lineRule="auto"/>
        <w:jc w:val="both"/>
        <w:rPr>
          <w:rFonts w:ascii="Times New Roman" w:hAnsi="Times New Roman" w:cs="Times New Roman"/>
          <w:sz w:val="24"/>
          <w:szCs w:val="24"/>
          <w:lang w:val="en-GB"/>
        </w:rPr>
      </w:pPr>
    </w:p>
    <w:p w14:paraId="2A43B9A0" w14:textId="4F1257A4" w:rsidR="000300ED"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These results are important suggesting that, in order to keep track of oil price dynamics, it is necessary to account for a more general context of news and geopolitical tensions beyond OPEC countries, relying on signals and externalities that are not always based on economic rationale.</w:t>
      </w:r>
    </w:p>
    <w:p w14:paraId="230AAFE6" w14:textId="77777777" w:rsidR="000300ED" w:rsidRPr="007D2E18" w:rsidRDefault="000300ED" w:rsidP="00A456AE">
      <w:pPr>
        <w:spacing w:after="0" w:line="240" w:lineRule="auto"/>
        <w:jc w:val="both"/>
        <w:rPr>
          <w:rFonts w:ascii="Times New Roman" w:hAnsi="Times New Roman" w:cs="Times New Roman"/>
          <w:sz w:val="24"/>
          <w:szCs w:val="24"/>
          <w:lang w:val="en-GB"/>
        </w:rPr>
      </w:pPr>
    </w:p>
    <w:p w14:paraId="6C1DB4E2" w14:textId="0334FE41" w:rsidR="0085000C"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The remaining of the article proceeds as follows. In Section 2 we review the related literature in various dimensions: different measures of geopolitical tensions and news, and broad analyses of oil market in general and OPEC in particular. In Section 3, we describe the dataset as well as the econometric challenges of dealing with short sample and persistent time series. In Section 4 we present all the econometric results. Finally, Section 5 concludes.</w:t>
      </w:r>
    </w:p>
    <w:p w14:paraId="4AB13DA9" w14:textId="77777777" w:rsidR="0085000C" w:rsidRPr="007D2E18" w:rsidRDefault="0085000C" w:rsidP="00A456AE">
      <w:pPr>
        <w:spacing w:after="0" w:line="240" w:lineRule="auto"/>
        <w:jc w:val="both"/>
        <w:rPr>
          <w:rFonts w:ascii="Times New Roman" w:hAnsi="Times New Roman" w:cs="Times New Roman"/>
          <w:sz w:val="24"/>
          <w:szCs w:val="24"/>
          <w:lang w:val="en-GB"/>
        </w:rPr>
      </w:pPr>
    </w:p>
    <w:p w14:paraId="0C974FA5" w14:textId="712EABCB" w:rsidR="0085000C" w:rsidRPr="007D2E18" w:rsidRDefault="00CC6F9C" w:rsidP="00CC6F9C">
      <w:pPr>
        <w:pStyle w:val="Prrafodelista"/>
        <w:numPr>
          <w:ilvl w:val="0"/>
          <w:numId w:val="1"/>
        </w:numPr>
        <w:spacing w:after="0" w:line="240" w:lineRule="auto"/>
        <w:jc w:val="both"/>
        <w:rPr>
          <w:rFonts w:ascii="Times New Roman" w:hAnsi="Times New Roman" w:cs="Times New Roman"/>
          <w:b/>
          <w:bCs/>
          <w:sz w:val="24"/>
          <w:szCs w:val="24"/>
          <w:lang w:val="en-GB"/>
        </w:rPr>
      </w:pPr>
      <w:r w:rsidRPr="007D2E18">
        <w:rPr>
          <w:rFonts w:ascii="Times New Roman" w:hAnsi="Times New Roman" w:cs="Times New Roman"/>
          <w:b/>
          <w:bCs/>
          <w:sz w:val="24"/>
          <w:szCs w:val="24"/>
          <w:lang w:val="en-GB"/>
        </w:rPr>
        <w:t>LITERATURE REVIEW</w:t>
      </w:r>
    </w:p>
    <w:p w14:paraId="455E5C86" w14:textId="77777777" w:rsidR="000300ED" w:rsidRPr="007D2E18" w:rsidRDefault="000300ED" w:rsidP="00A456AE">
      <w:pPr>
        <w:spacing w:after="0" w:line="240" w:lineRule="auto"/>
        <w:jc w:val="both"/>
        <w:rPr>
          <w:rFonts w:ascii="Times New Roman" w:hAnsi="Times New Roman" w:cs="Times New Roman"/>
          <w:sz w:val="24"/>
          <w:szCs w:val="24"/>
          <w:lang w:val="en-GB"/>
        </w:rPr>
      </w:pPr>
    </w:p>
    <w:p w14:paraId="7B27AA26" w14:textId="2D3F3C8E" w:rsidR="000300ED"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There is a wide branch of research analysing the oil market beyond the boundaries of Economics. However, despite all types of methodologies and model sophistication used to understand the dynamics of oil market, we proceed considering one of the most striking time-series econometrics tools: Granger causality (Granger, 1969, 1980, 2004). As emphasised by Barrett and Barnett (2013), Granger causality is a tool designed to measure whether a variable affects another anticipatedly, but not for testing a specific mechanism. This distinction is important because a huge related literature focus on the behaviour of big oil-market players, specially OPEC, under several assumptions setting and ultimately testing a specific mechanism in that finds that OPEC countries act as a cartel. Granger causality has the advantage to test the relationship between variables in a naïve, agnostic, model-free way</w:t>
      </w:r>
      <w:r w:rsidR="00624E39"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still</w:t>
      </w:r>
      <w:r w:rsidR="00624E39" w:rsidRPr="007D2E18">
        <w:rPr>
          <w:rFonts w:ascii="Times New Roman" w:hAnsi="Times New Roman" w:cs="Times New Roman"/>
          <w:sz w:val="24"/>
          <w:szCs w:val="24"/>
          <w:lang w:val="en-GB"/>
        </w:rPr>
        <w:t xml:space="preserve"> </w:t>
      </w:r>
      <w:r w:rsidRPr="007D2E18">
        <w:rPr>
          <w:rFonts w:ascii="Times New Roman" w:hAnsi="Times New Roman" w:cs="Times New Roman"/>
          <w:sz w:val="24"/>
          <w:szCs w:val="24"/>
          <w:lang w:val="en-GB"/>
        </w:rPr>
        <w:t>being empirically relevant for analysing the oil market. This approach has also been used for similar purposes in, for example, Gülen (1996) and Kaufmann et al. (2004). Güllen (1996) finds evidence supporting output coordination among OPEC members especially in the output rationing era from 1982 to 1993, thus suggesting that OPEC did act as a cartel. Kaufmann et al. (2004) find that OPEC capacity utilisation, quotas, and the degree in which quotas are exceeded, Granger cause real oil prices, but real oil prices do not cause these variables for the 1986-2000 period.</w:t>
      </w:r>
    </w:p>
    <w:p w14:paraId="0432CD36" w14:textId="77777777" w:rsidR="000300ED" w:rsidRPr="007D2E18" w:rsidRDefault="000300ED" w:rsidP="00A456AE">
      <w:pPr>
        <w:spacing w:after="0" w:line="240" w:lineRule="auto"/>
        <w:jc w:val="both"/>
        <w:rPr>
          <w:rFonts w:ascii="Times New Roman" w:hAnsi="Times New Roman" w:cs="Times New Roman"/>
          <w:sz w:val="24"/>
          <w:szCs w:val="24"/>
          <w:lang w:val="en-GB"/>
        </w:rPr>
      </w:pPr>
    </w:p>
    <w:p w14:paraId="11701AA8" w14:textId="3BB75B35" w:rsidR="000300ED"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Another approach used to analyse the anticipated effect of one variable on another is the events study. This methodology has been use</w:t>
      </w:r>
      <w:r w:rsidR="000300ED" w:rsidRPr="007D2E18">
        <w:rPr>
          <w:rFonts w:ascii="Times New Roman" w:hAnsi="Times New Roman" w:cs="Times New Roman"/>
          <w:sz w:val="24"/>
          <w:szCs w:val="24"/>
          <w:lang w:val="en-GB"/>
        </w:rPr>
        <w:t>d</w:t>
      </w:r>
      <w:r w:rsidRPr="007D2E18">
        <w:rPr>
          <w:rFonts w:ascii="Times New Roman" w:hAnsi="Times New Roman" w:cs="Times New Roman"/>
          <w:sz w:val="24"/>
          <w:szCs w:val="24"/>
          <w:lang w:val="en-GB"/>
        </w:rPr>
        <w:t xml:space="preserve"> in, for example, Demirer and Kutan (2010) and Lin and Tamvakis </w:t>
      </w:r>
      <w:r w:rsidRPr="007D2E18">
        <w:rPr>
          <w:rFonts w:ascii="Times New Roman" w:hAnsi="Times New Roman" w:cs="Times New Roman"/>
          <w:sz w:val="24"/>
          <w:szCs w:val="24"/>
          <w:lang w:val="en-GB"/>
        </w:rPr>
        <w:lastRenderedPageBreak/>
        <w:t>(2010).</w:t>
      </w:r>
      <w:r w:rsidR="000300ED" w:rsidRPr="007D2E18">
        <w:rPr>
          <w:rStyle w:val="Refdenotaalpie"/>
          <w:rFonts w:ascii="Times New Roman" w:hAnsi="Times New Roman" w:cs="Times New Roman"/>
          <w:sz w:val="24"/>
          <w:szCs w:val="24"/>
          <w:lang w:val="en-GB"/>
        </w:rPr>
        <w:footnoteReference w:id="6"/>
      </w:r>
      <w:r w:rsidR="000300ED" w:rsidRPr="007D2E18">
        <w:rPr>
          <w:rFonts w:ascii="Times New Roman" w:hAnsi="Times New Roman" w:cs="Times New Roman"/>
          <w:sz w:val="24"/>
          <w:szCs w:val="24"/>
          <w:lang w:val="en-GB"/>
        </w:rPr>
        <w:t xml:space="preserve"> </w:t>
      </w:r>
      <w:r w:rsidRPr="007D2E18">
        <w:rPr>
          <w:rFonts w:ascii="Times New Roman" w:hAnsi="Times New Roman" w:cs="Times New Roman"/>
          <w:sz w:val="24"/>
          <w:szCs w:val="24"/>
          <w:lang w:val="en-GB"/>
        </w:rPr>
        <w:t>However, in order to isolate the impact of one variable on another, all other possible effects must be controlled for. An alternative to numerous and virtually unknown controls is the use of high frequency data. Given our availability of daily news related to geopolitical tensions but with an uncertain realisation</w:t>
      </w:r>
      <w:r w:rsidR="000300ED"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this</w:t>
      </w:r>
      <w:r w:rsidR="000300ED" w:rsidRPr="007D2E18">
        <w:rPr>
          <w:rFonts w:ascii="Times New Roman" w:hAnsi="Times New Roman" w:cs="Times New Roman"/>
          <w:sz w:val="24"/>
          <w:szCs w:val="24"/>
          <w:lang w:val="en-GB"/>
        </w:rPr>
        <w:t xml:space="preserve"> </w:t>
      </w:r>
      <w:r w:rsidRPr="007D2E18">
        <w:rPr>
          <w:rFonts w:ascii="Times New Roman" w:hAnsi="Times New Roman" w:cs="Times New Roman"/>
          <w:sz w:val="24"/>
          <w:szCs w:val="24"/>
          <w:lang w:val="en-GB"/>
        </w:rPr>
        <w:t xml:space="preserve">is, availability of news published on a specific day commenting on a supply crunch during the week, month, or an unspecified </w:t>
      </w:r>
      <w:r w:rsidR="000300ED"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short-term</w:t>
      </w:r>
      <w:r w:rsidR="000300ED"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 xml:space="preserve"> horizon</w:t>
      </w:r>
      <w:r w:rsidR="000300ED"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 our analysis is based on monthly-frequency data and controlling for up to six months of possible impact. Consequently, given our econometric setup, event study does not appear appropriate for our purposes.</w:t>
      </w:r>
    </w:p>
    <w:p w14:paraId="71B7F2A1" w14:textId="77777777" w:rsidR="000300ED" w:rsidRPr="007D2E18" w:rsidRDefault="000300ED" w:rsidP="00A456AE">
      <w:pPr>
        <w:spacing w:after="0" w:line="240" w:lineRule="auto"/>
        <w:jc w:val="both"/>
        <w:rPr>
          <w:rFonts w:ascii="Times New Roman" w:hAnsi="Times New Roman" w:cs="Times New Roman"/>
          <w:sz w:val="24"/>
          <w:szCs w:val="24"/>
          <w:lang w:val="en-GB"/>
        </w:rPr>
      </w:pPr>
    </w:p>
    <w:p w14:paraId="594E783D" w14:textId="73943707" w:rsidR="000300ED"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The challenge when analysing geopolitical tension and its realisations such as military and diplomatic conflicts, riots, and wars, plus other manifestations in the form of threats, start with its measurement. Nowadays, the literature relies on counting news of reputed media containing certain keywords or sentences meeting a set of preconceived conditions. This is the approach taken by the well-known (global) </w:t>
      </w:r>
      <w:r w:rsidRPr="007D2E18">
        <w:rPr>
          <w:rFonts w:ascii="Times New Roman" w:hAnsi="Times New Roman" w:cs="Times New Roman"/>
          <w:i/>
          <w:iCs/>
          <w:sz w:val="24"/>
          <w:szCs w:val="24"/>
          <w:lang w:val="en-GB"/>
        </w:rPr>
        <w:t>Economic Policy Uncertainty</w:t>
      </w:r>
      <w:r w:rsidRPr="007D2E18">
        <w:rPr>
          <w:rFonts w:ascii="Times New Roman" w:hAnsi="Times New Roman" w:cs="Times New Roman"/>
          <w:sz w:val="24"/>
          <w:szCs w:val="24"/>
          <w:lang w:val="en-GB"/>
        </w:rPr>
        <w:t xml:space="preserve"> (EPU) index developed in Baker et al. (2016). Previously, Saiz and Simonsohn (2013) proposed the econometric conditions which Internet-based text data must </w:t>
      </w:r>
      <w:r w:rsidR="008D7395" w:rsidRPr="007D2E18">
        <w:rPr>
          <w:rFonts w:ascii="Times New Roman" w:hAnsi="Times New Roman" w:cs="Times New Roman"/>
          <w:sz w:val="24"/>
          <w:szCs w:val="24"/>
          <w:lang w:val="en-GB"/>
        </w:rPr>
        <w:t>fulfil</w:t>
      </w:r>
      <w:r w:rsidRPr="007D2E18">
        <w:rPr>
          <w:rFonts w:ascii="Times New Roman" w:hAnsi="Times New Roman" w:cs="Times New Roman"/>
          <w:sz w:val="24"/>
          <w:szCs w:val="24"/>
          <w:lang w:val="en-GB"/>
        </w:rPr>
        <w:t xml:space="preserve"> in order to create reliable indicators, comparable to existing numerical ones. Caldara and Iacoviello (2018) also take the approach of counting key words and sentences to derive an indicator of global geopoliti</w:t>
      </w:r>
      <w:r w:rsidR="008D7395" w:rsidRPr="007D2E18">
        <w:rPr>
          <w:rFonts w:ascii="Times New Roman" w:hAnsi="Times New Roman" w:cs="Times New Roman"/>
          <w:sz w:val="24"/>
          <w:szCs w:val="24"/>
          <w:lang w:val="en-GB"/>
        </w:rPr>
        <w:t>c</w:t>
      </w:r>
      <w:r w:rsidRPr="007D2E18">
        <w:rPr>
          <w:rFonts w:ascii="Times New Roman" w:hAnsi="Times New Roman" w:cs="Times New Roman"/>
          <w:sz w:val="24"/>
          <w:szCs w:val="24"/>
          <w:lang w:val="en-GB"/>
        </w:rPr>
        <w:t>al risk considering a wider definition of geopolitical risk than EPU from newspapers. The indicator is built in a three-step process of definition, measurement, and audit. This latter process is important because it involves a human-based revision process</w:t>
      </w:r>
      <w:r w:rsidR="00624E39"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a</w:t>
      </w:r>
      <w:r w:rsidR="00624E39" w:rsidRPr="007D2E18">
        <w:rPr>
          <w:rFonts w:ascii="Times New Roman" w:hAnsi="Times New Roman" w:cs="Times New Roman"/>
          <w:sz w:val="24"/>
          <w:szCs w:val="24"/>
          <w:lang w:val="en-GB"/>
        </w:rPr>
        <w:t xml:space="preserve"> </w:t>
      </w:r>
      <w:r w:rsidRPr="007D2E18">
        <w:rPr>
          <w:rFonts w:ascii="Times New Roman" w:hAnsi="Times New Roman" w:cs="Times New Roman"/>
          <w:sz w:val="24"/>
          <w:szCs w:val="24"/>
          <w:lang w:val="en-GB"/>
        </w:rPr>
        <w:t>key step to build our ad-hoc measure, which is fully human-based. Notice that this kind of indicators could be much improved with machine learning methods and software capable of performing word counting or text mining analysis when information is more blurred (see Bholat et al., 2015, for a reference). Also available is a new kind of data, such as Twitter messages and other Internet-based data.</w:t>
      </w:r>
      <w:r w:rsidR="000300ED" w:rsidRPr="007D2E18">
        <w:rPr>
          <w:rStyle w:val="Refdenotaalpie"/>
          <w:rFonts w:ascii="Times New Roman" w:hAnsi="Times New Roman" w:cs="Times New Roman"/>
          <w:sz w:val="24"/>
          <w:szCs w:val="24"/>
          <w:lang w:val="en-GB"/>
        </w:rPr>
        <w:footnoteReference w:id="7"/>
      </w:r>
    </w:p>
    <w:p w14:paraId="4F19DFD2" w14:textId="77777777" w:rsidR="000300ED" w:rsidRPr="007D2E18" w:rsidRDefault="000300ED" w:rsidP="00A456AE">
      <w:pPr>
        <w:spacing w:after="0" w:line="240" w:lineRule="auto"/>
        <w:jc w:val="both"/>
        <w:rPr>
          <w:rFonts w:ascii="Times New Roman" w:hAnsi="Times New Roman" w:cs="Times New Roman"/>
          <w:sz w:val="24"/>
          <w:szCs w:val="24"/>
          <w:lang w:val="en-GB"/>
        </w:rPr>
      </w:pPr>
    </w:p>
    <w:p w14:paraId="425D6DFF" w14:textId="437DDEF3" w:rsidR="00684255"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There are already available some proxies built to measure the unobservable geopolitical risks. Bloom (2009) makes use of the stock market</w:t>
      </w:r>
      <w:r w:rsidR="008D7395"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s realised and implied volatility (VIX) to analyse the impact of an uncertainty shock to the real economy. In turn, Bachmann et al. (2013) use survey-based forecasts to better capture the cross-sectional differences at a business-level uncertainty. Jurado et al. (2015) exploit the information contained in the purely unforecastable component of the forecast value of a big number of variables, whereas Scotti (2016) exploits the dispersion around the state of the economy to differentiate between news and uncertainty. Nevertheless, neither of these indicators measures geopolitical tensions and associated risks specifically posing a threat to the oil supply and, instead, they are measuring a wider set of events.</w:t>
      </w:r>
    </w:p>
    <w:p w14:paraId="76671B71" w14:textId="77777777" w:rsidR="00684255" w:rsidRPr="007D2E18" w:rsidRDefault="00684255" w:rsidP="00A456AE">
      <w:pPr>
        <w:spacing w:after="0" w:line="240" w:lineRule="auto"/>
        <w:jc w:val="both"/>
        <w:rPr>
          <w:rFonts w:ascii="Times New Roman" w:hAnsi="Times New Roman" w:cs="Times New Roman"/>
          <w:sz w:val="24"/>
          <w:szCs w:val="24"/>
          <w:lang w:val="en-GB"/>
        </w:rPr>
      </w:pPr>
    </w:p>
    <w:p w14:paraId="4553AAAC" w14:textId="0D398C12" w:rsidR="0085000C"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Our measure, in turn, is specially designed to measure the same kind of risks but circumscribed to the oil market. This makes that, at least, three out of ten dummy variables considered  enter our measure and are not included in mentioned indicators, namely, the </w:t>
      </w:r>
      <w:r w:rsidRPr="007D2E18">
        <w:rPr>
          <w:rFonts w:ascii="Times New Roman" w:hAnsi="Times New Roman" w:cs="Times New Roman"/>
          <w:i/>
          <w:iCs/>
          <w:sz w:val="24"/>
          <w:szCs w:val="24"/>
          <w:lang w:val="en-GB"/>
        </w:rPr>
        <w:t>United Nations Oil for Food Program</w:t>
      </w:r>
      <w:r w:rsidRPr="007D2E18">
        <w:rPr>
          <w:rFonts w:ascii="Times New Roman" w:hAnsi="Times New Roman" w:cs="Times New Roman"/>
          <w:sz w:val="24"/>
          <w:szCs w:val="24"/>
          <w:lang w:val="en-GB"/>
        </w:rPr>
        <w:t xml:space="preserve"> announcements, the use of the </w:t>
      </w:r>
      <w:r w:rsidRPr="007D2E18">
        <w:rPr>
          <w:rFonts w:ascii="Times New Roman" w:hAnsi="Times New Roman" w:cs="Times New Roman"/>
          <w:i/>
          <w:iCs/>
          <w:sz w:val="24"/>
          <w:szCs w:val="24"/>
          <w:lang w:val="en-GB"/>
        </w:rPr>
        <w:t>United States Strategic Petroleum Reserve</w:t>
      </w:r>
      <w:r w:rsidRPr="007D2E18">
        <w:rPr>
          <w:rFonts w:ascii="Times New Roman" w:hAnsi="Times New Roman" w:cs="Times New Roman"/>
          <w:sz w:val="24"/>
          <w:szCs w:val="24"/>
          <w:lang w:val="en-GB"/>
        </w:rPr>
        <w:t xml:space="preserve">, and new </w:t>
      </w:r>
      <w:r w:rsidR="00684255" w:rsidRPr="007D2E18">
        <w:rPr>
          <w:rFonts w:ascii="Times New Roman" w:hAnsi="Times New Roman" w:cs="Times New Roman"/>
          <w:sz w:val="24"/>
          <w:szCs w:val="24"/>
          <w:lang w:val="en-GB"/>
        </w:rPr>
        <w:t>announcements</w:t>
      </w:r>
      <w:r w:rsidRPr="007D2E18">
        <w:rPr>
          <w:rFonts w:ascii="Times New Roman" w:hAnsi="Times New Roman" w:cs="Times New Roman"/>
          <w:sz w:val="24"/>
          <w:szCs w:val="24"/>
          <w:lang w:val="en-GB"/>
        </w:rPr>
        <w:t xml:space="preserve"> on discoveries and site exploration. In this sense, the analysis contained in this article is unique and so, we extend the econometric </w:t>
      </w:r>
      <w:r w:rsidRPr="007D2E18">
        <w:rPr>
          <w:rFonts w:ascii="Times New Roman" w:hAnsi="Times New Roman" w:cs="Times New Roman"/>
          <w:sz w:val="24"/>
          <w:szCs w:val="24"/>
          <w:lang w:val="en-GB"/>
        </w:rPr>
        <w:lastRenderedPageBreak/>
        <w:t>analysis to oil price forecasts and their dispersion to stress out the informational content of our proposed measure.</w:t>
      </w:r>
    </w:p>
    <w:p w14:paraId="35C76206" w14:textId="77777777" w:rsidR="0085000C" w:rsidRPr="007D2E18" w:rsidRDefault="0085000C" w:rsidP="00A456AE">
      <w:pPr>
        <w:spacing w:after="0" w:line="240" w:lineRule="auto"/>
        <w:jc w:val="both"/>
        <w:rPr>
          <w:rFonts w:ascii="Times New Roman" w:hAnsi="Times New Roman" w:cs="Times New Roman"/>
          <w:sz w:val="24"/>
          <w:szCs w:val="24"/>
          <w:lang w:val="en-GB"/>
        </w:rPr>
      </w:pPr>
    </w:p>
    <w:p w14:paraId="3D085C58" w14:textId="023A399D" w:rsidR="0085000C" w:rsidRPr="007D2E18" w:rsidRDefault="00684255" w:rsidP="00A456AE">
      <w:pPr>
        <w:spacing w:after="0" w:line="240" w:lineRule="auto"/>
        <w:jc w:val="both"/>
        <w:rPr>
          <w:rFonts w:ascii="Times New Roman" w:hAnsi="Times New Roman" w:cs="Times New Roman"/>
          <w:b/>
          <w:bCs/>
          <w:sz w:val="24"/>
          <w:szCs w:val="24"/>
          <w:lang w:val="en-GB"/>
        </w:rPr>
      </w:pPr>
      <w:r w:rsidRPr="007D2E18">
        <w:rPr>
          <w:rFonts w:ascii="Times New Roman" w:hAnsi="Times New Roman" w:cs="Times New Roman"/>
          <w:b/>
          <w:bCs/>
          <w:sz w:val="24"/>
          <w:szCs w:val="24"/>
          <w:lang w:val="en-GB"/>
        </w:rPr>
        <w:t xml:space="preserve">2.1. </w:t>
      </w:r>
      <w:r w:rsidR="0085000C" w:rsidRPr="007D2E18">
        <w:rPr>
          <w:rFonts w:ascii="Times New Roman" w:hAnsi="Times New Roman" w:cs="Times New Roman"/>
          <w:b/>
          <w:bCs/>
          <w:sz w:val="24"/>
          <w:szCs w:val="24"/>
          <w:lang w:val="en-GB"/>
        </w:rPr>
        <w:t>The effect of geopolitical tensions on the oil market</w:t>
      </w:r>
    </w:p>
    <w:p w14:paraId="575D5723" w14:textId="77777777" w:rsidR="00684255" w:rsidRPr="007D2E18" w:rsidRDefault="00684255" w:rsidP="00A456AE">
      <w:pPr>
        <w:spacing w:after="0" w:line="240" w:lineRule="auto"/>
        <w:jc w:val="both"/>
        <w:rPr>
          <w:rFonts w:ascii="Times New Roman" w:hAnsi="Times New Roman" w:cs="Times New Roman"/>
          <w:sz w:val="24"/>
          <w:szCs w:val="24"/>
          <w:lang w:val="en-GB"/>
        </w:rPr>
      </w:pPr>
    </w:p>
    <w:p w14:paraId="25D5A611" w14:textId="77777777" w:rsidR="00743566"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The analysis of geopolitical risks on the oil market, however, is not new in the literature. Recently, Antonanakis et al. (2017) analysed the impact of uncertainty shock (as measured with the Caldara and Iacoviello (2018)</w:t>
      </w:r>
      <w:r w:rsidR="00743566"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s, geopolitical risk index) on the stock-oil returns covariance. The results reveal that geopolitical risks</w:t>
      </w:r>
      <w:r w:rsidR="00743566"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broadly</w:t>
      </w:r>
      <w:r w:rsidR="00743566" w:rsidRPr="007D2E18">
        <w:rPr>
          <w:rFonts w:ascii="Times New Roman" w:hAnsi="Times New Roman" w:cs="Times New Roman"/>
          <w:sz w:val="24"/>
          <w:szCs w:val="24"/>
          <w:lang w:val="en-GB"/>
        </w:rPr>
        <w:t xml:space="preserve"> </w:t>
      </w:r>
      <w:r w:rsidRPr="007D2E18">
        <w:rPr>
          <w:rFonts w:ascii="Times New Roman" w:hAnsi="Times New Roman" w:cs="Times New Roman"/>
          <w:sz w:val="24"/>
          <w:szCs w:val="24"/>
          <w:lang w:val="en-GB"/>
        </w:rPr>
        <w:t>defined, and not specifically referred to the oil market</w:t>
      </w:r>
      <w:r w:rsidR="00743566"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triggers</w:t>
      </w:r>
      <w:r w:rsidR="00743566" w:rsidRPr="007D2E18">
        <w:rPr>
          <w:rFonts w:ascii="Times New Roman" w:hAnsi="Times New Roman" w:cs="Times New Roman"/>
          <w:sz w:val="24"/>
          <w:szCs w:val="24"/>
          <w:lang w:val="en-GB"/>
        </w:rPr>
        <w:t xml:space="preserve"> </w:t>
      </w:r>
      <w:r w:rsidRPr="007D2E18">
        <w:rPr>
          <w:rFonts w:ascii="Times New Roman" w:hAnsi="Times New Roman" w:cs="Times New Roman"/>
          <w:sz w:val="24"/>
          <w:szCs w:val="24"/>
          <w:lang w:val="en-GB"/>
        </w:rPr>
        <w:t>a negative effect on oil returns and volatility, and to a lesser extent to the stock (S&amp;P500)-oil returns covariance. It is commonplace in the literature to proxy geopolitical tensions with a wide range of uncertainty indexes and, more scarcely, with oil-specific uncertainty measures. One exception of the latter kind of research is Joo and Park (2017). By making use of GARCH-in-mean specification, the authors find that the uncertainty of stocks (in the United States, Japan, South Korea, and Hong Kong) and oil returns carry significant negative time-varying effects of uncertainty over returns in sub-periods comprehended between 1995 and 2015.</w:t>
      </w:r>
    </w:p>
    <w:p w14:paraId="7DE10B21" w14:textId="77777777" w:rsidR="00743566" w:rsidRPr="007D2E18" w:rsidRDefault="00743566" w:rsidP="00A456AE">
      <w:pPr>
        <w:spacing w:after="0" w:line="240" w:lineRule="auto"/>
        <w:jc w:val="both"/>
        <w:rPr>
          <w:rFonts w:ascii="Times New Roman" w:hAnsi="Times New Roman" w:cs="Times New Roman"/>
          <w:sz w:val="24"/>
          <w:szCs w:val="24"/>
          <w:lang w:val="en-GB"/>
        </w:rPr>
      </w:pPr>
    </w:p>
    <w:p w14:paraId="37720D10" w14:textId="77777777" w:rsidR="00743566"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Kang and Ratti (2013a) claim that oil price shocks and EPU are interrelated and influence stock market returns in the United States. The authors argue that a positive oil-market-specific demand shock significantly raises EPU and reduces real stock returns. Also, Bekiros et al. (2015) find that EPU information does matter in predicting changes in oil prices. Moreover, Kang and Ratti (2013b) find that oil-specific demand shocks account for 31% of conditional variation in the EPU. Similarly, Maghyereh et al. (2016) make use of a series of implied volatility indexes in 11 major stock exchanges to investigate the directional connectedness between oil and equities between 2008 and 2015. The results support episodic bi-directional information spillovers largely dominated by the transmission from the oil to equity markets, and not the other way around. Antonanakis et al. (2014) also examine the dynamic relationship between changes in oil prices and the EPU over 1997 to 2013, finding a negative feedback relationship between oil price shocks and EPU shocks.</w:t>
      </w:r>
    </w:p>
    <w:p w14:paraId="1ED09724" w14:textId="77777777" w:rsidR="00743566" w:rsidRPr="007D2E18" w:rsidRDefault="00743566" w:rsidP="00A456AE">
      <w:pPr>
        <w:spacing w:after="0" w:line="240" w:lineRule="auto"/>
        <w:jc w:val="both"/>
        <w:rPr>
          <w:rFonts w:ascii="Times New Roman" w:hAnsi="Times New Roman" w:cs="Times New Roman"/>
          <w:sz w:val="24"/>
          <w:szCs w:val="24"/>
          <w:lang w:val="en-GB"/>
        </w:rPr>
      </w:pPr>
    </w:p>
    <w:p w14:paraId="3F008BDD" w14:textId="77777777" w:rsidR="00743566"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More related to geopolitical tensions and violent conflict, particularly terrorism and wars, Kollias et al. (2013) find that wars have a significant negative effect on the covariance between oil price and returns of four big stock markets (S&amp;P500, the European DAX, CAC40, and FTSE100). Interestingly, terrorist incidents have an impact in just two indexes; CAC40 and DAX. Guidolin and La Ferrara (2010) find that, especially in the Middle East, oil futures systematically exhibit a downturn in response to conflicts in this region, analysing 101 events with the case study methodology. Some other articles highlight how terrorism deteriorates economic sentiment (Drakos and Kallandranis, 2015) and lower income per capita growth (Gaibulloev and Sandler, 2009).</w:t>
      </w:r>
    </w:p>
    <w:p w14:paraId="610B3383" w14:textId="77777777" w:rsidR="00743566" w:rsidRPr="007D2E18" w:rsidRDefault="00743566" w:rsidP="00A456AE">
      <w:pPr>
        <w:spacing w:after="0" w:line="240" w:lineRule="auto"/>
        <w:jc w:val="both"/>
        <w:rPr>
          <w:rFonts w:ascii="Times New Roman" w:hAnsi="Times New Roman" w:cs="Times New Roman"/>
          <w:sz w:val="24"/>
          <w:szCs w:val="24"/>
          <w:lang w:val="en-GB"/>
        </w:rPr>
      </w:pPr>
    </w:p>
    <w:p w14:paraId="363C6D4D" w14:textId="130279E6" w:rsidR="0085000C"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Thus, the literature associates oil price shocks as a trigger to general uncertainty, but this relationship is evolving across time and is dependent on one-off events such as terrorist attacks and violent conflicts. In this article we partially support this view by finding that oil prices cause tensions and news in OPEC-countries only. Moreover, it is a wider spectrum of geopolitical tensions and news that cause oil prices, it forecasts and the dispersion around those forecasts. So, it is likely that non-OPEC tensions and news increase global uncertainty (as well as stocks, economic sentiment, and income, among others) through oil prices rather than tensions and news coming from OPEC countries. This important distinction is </w:t>
      </w:r>
      <w:r w:rsidRPr="007D2E18">
        <w:rPr>
          <w:rFonts w:ascii="Times New Roman" w:hAnsi="Times New Roman" w:cs="Times New Roman"/>
          <w:sz w:val="24"/>
          <w:szCs w:val="24"/>
          <w:lang w:val="en-GB"/>
        </w:rPr>
        <w:lastRenderedPageBreak/>
        <w:t>possible to make thanks to the construction of our newly proposed, oil-specific measure of geopolitical tensions and news.</w:t>
      </w:r>
    </w:p>
    <w:p w14:paraId="473A03DB" w14:textId="77777777" w:rsidR="0085000C" w:rsidRPr="007D2E18" w:rsidRDefault="0085000C" w:rsidP="00A456AE">
      <w:pPr>
        <w:spacing w:after="0" w:line="240" w:lineRule="auto"/>
        <w:jc w:val="both"/>
        <w:rPr>
          <w:rFonts w:ascii="Times New Roman" w:hAnsi="Times New Roman" w:cs="Times New Roman"/>
          <w:sz w:val="24"/>
          <w:szCs w:val="24"/>
          <w:lang w:val="en-GB"/>
        </w:rPr>
      </w:pPr>
    </w:p>
    <w:p w14:paraId="17B2BD15" w14:textId="0DB28E15" w:rsidR="0085000C" w:rsidRPr="007D2E18" w:rsidRDefault="00F01282" w:rsidP="00A456AE">
      <w:pPr>
        <w:spacing w:after="0" w:line="240" w:lineRule="auto"/>
        <w:jc w:val="both"/>
        <w:rPr>
          <w:rFonts w:ascii="Times New Roman" w:hAnsi="Times New Roman" w:cs="Times New Roman"/>
          <w:b/>
          <w:bCs/>
          <w:sz w:val="24"/>
          <w:szCs w:val="24"/>
          <w:lang w:val="en-GB"/>
        </w:rPr>
      </w:pPr>
      <w:r w:rsidRPr="007D2E18">
        <w:rPr>
          <w:rFonts w:ascii="Times New Roman" w:hAnsi="Times New Roman" w:cs="Times New Roman"/>
          <w:b/>
          <w:bCs/>
          <w:sz w:val="24"/>
          <w:szCs w:val="24"/>
          <w:lang w:val="en-GB"/>
        </w:rPr>
        <w:t xml:space="preserve">2.2. </w:t>
      </w:r>
      <w:r w:rsidR="0085000C" w:rsidRPr="007D2E18">
        <w:rPr>
          <w:rFonts w:ascii="Times New Roman" w:hAnsi="Times New Roman" w:cs="Times New Roman"/>
          <w:b/>
          <w:bCs/>
          <w:sz w:val="24"/>
          <w:szCs w:val="24"/>
          <w:lang w:val="en-GB"/>
        </w:rPr>
        <w:t>The economics of OPEC countries</w:t>
      </w:r>
    </w:p>
    <w:p w14:paraId="5971816D" w14:textId="77777777" w:rsidR="00F01282" w:rsidRPr="007D2E18" w:rsidRDefault="00F01282" w:rsidP="00A456AE">
      <w:pPr>
        <w:spacing w:after="0" w:line="240" w:lineRule="auto"/>
        <w:jc w:val="both"/>
        <w:rPr>
          <w:rFonts w:ascii="Times New Roman" w:hAnsi="Times New Roman" w:cs="Times New Roman"/>
          <w:sz w:val="24"/>
          <w:szCs w:val="24"/>
          <w:lang w:val="en-GB"/>
        </w:rPr>
      </w:pPr>
    </w:p>
    <w:p w14:paraId="5AFF53E0" w14:textId="77777777" w:rsidR="00F01282"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The OPEC was established in Baghdad, Iraq, and effective as from January 1961. Since then, a lot of attention has been attracted to a particular OPEC conference scheduled twice a year whose outcome consists of a market quota setting for participant countries. There is much speculation in the days surrounding these conferences as it supposedly is the price setting mechanism managed by OPEC. A long-standing research in this matter possibly begins with Griffin and Teece (1982), MacAvoy (1982), and Draper (1984), when analysing the effect of this meeting outcome</w:t>
      </w:r>
      <w:r w:rsidR="00F01282"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decoded</w:t>
      </w:r>
      <w:r w:rsidR="00F01282" w:rsidRPr="007D2E18">
        <w:rPr>
          <w:rFonts w:ascii="Times New Roman" w:hAnsi="Times New Roman" w:cs="Times New Roman"/>
          <w:sz w:val="24"/>
          <w:szCs w:val="24"/>
          <w:lang w:val="en-GB"/>
        </w:rPr>
        <w:t xml:space="preserve"> </w:t>
      </w:r>
      <w:r w:rsidRPr="007D2E18">
        <w:rPr>
          <w:rFonts w:ascii="Times New Roman" w:hAnsi="Times New Roman" w:cs="Times New Roman"/>
          <w:sz w:val="24"/>
          <w:szCs w:val="24"/>
          <w:lang w:val="en-GB"/>
        </w:rPr>
        <w:t>as an increase, no change, or decrease in quota</w:t>
      </w:r>
      <w:r w:rsidR="00F01282"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on</w:t>
      </w:r>
      <w:r w:rsidR="00F01282" w:rsidRPr="007D2E18">
        <w:rPr>
          <w:rFonts w:ascii="Times New Roman" w:hAnsi="Times New Roman" w:cs="Times New Roman"/>
          <w:sz w:val="24"/>
          <w:szCs w:val="24"/>
          <w:lang w:val="en-GB"/>
        </w:rPr>
        <w:t xml:space="preserve"> </w:t>
      </w:r>
      <w:r w:rsidRPr="007D2E18">
        <w:rPr>
          <w:rFonts w:ascii="Times New Roman" w:hAnsi="Times New Roman" w:cs="Times New Roman"/>
          <w:sz w:val="24"/>
          <w:szCs w:val="24"/>
          <w:lang w:val="en-GB"/>
        </w:rPr>
        <w:t>oil-market-based securities. A similar purpose is followed in Deaves and Krinsky (1992), Wirl and Kujundzic (2004), Guidi et al. (2006), and Hyndman (2008) among others, as well as studies including other OPEC issues such as reserves (Taylor and van Doren, 2005, and Considine, 2006). The results achieve certain consensus when quotas are reduced and oil prices are then increased, but this influence has declined since mid-1980s. This finding is in line with the evidence suggesting OPEC as a strong price setter during the 1970s.</w:t>
      </w:r>
    </w:p>
    <w:p w14:paraId="3FB28CB8" w14:textId="77777777" w:rsidR="00F01282" w:rsidRPr="007D2E18" w:rsidRDefault="00F01282" w:rsidP="00A456AE">
      <w:pPr>
        <w:spacing w:after="0" w:line="240" w:lineRule="auto"/>
        <w:jc w:val="both"/>
        <w:rPr>
          <w:rFonts w:ascii="Times New Roman" w:hAnsi="Times New Roman" w:cs="Times New Roman"/>
          <w:sz w:val="24"/>
          <w:szCs w:val="24"/>
          <w:lang w:val="en-GB"/>
        </w:rPr>
      </w:pPr>
    </w:p>
    <w:p w14:paraId="2D3EA43C" w14:textId="163150D7" w:rsidR="0085000C"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OPEC</w:t>
      </w:r>
      <w:r w:rsidR="00F01282"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s effective power has been analysed thoroughly from an economic point of view by researchers and policy makers (Pindyck, 1978; Salant, 1976; Teece, 1982; Moran, 1982; Hochman and Zilberman, 2015). Many diverse events have occurred since OPEC</w:t>
      </w:r>
      <w:r w:rsidR="00F01282"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s establishment</w:t>
      </w:r>
      <w:r w:rsidR="00F01282"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mainly</w:t>
      </w:r>
      <w:r w:rsidR="00F01282" w:rsidRPr="007D2E18">
        <w:rPr>
          <w:rFonts w:ascii="Times New Roman" w:hAnsi="Times New Roman" w:cs="Times New Roman"/>
          <w:sz w:val="24"/>
          <w:szCs w:val="24"/>
          <w:lang w:val="en-GB"/>
        </w:rPr>
        <w:t xml:space="preserve"> </w:t>
      </w:r>
      <w:r w:rsidRPr="007D2E18">
        <w:rPr>
          <w:rFonts w:ascii="Times New Roman" w:hAnsi="Times New Roman" w:cs="Times New Roman"/>
          <w:sz w:val="24"/>
          <w:szCs w:val="24"/>
          <w:lang w:val="en-GB"/>
        </w:rPr>
        <w:t>wars and other political instability realisations</w:t>
      </w:r>
      <w:r w:rsidR="00F01282"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and</w:t>
      </w:r>
      <w:r w:rsidR="00F01282" w:rsidRPr="007D2E18">
        <w:rPr>
          <w:rFonts w:ascii="Times New Roman" w:hAnsi="Times New Roman" w:cs="Times New Roman"/>
          <w:sz w:val="24"/>
          <w:szCs w:val="24"/>
          <w:lang w:val="en-GB"/>
        </w:rPr>
        <w:t xml:space="preserve"> </w:t>
      </w:r>
      <w:r w:rsidRPr="007D2E18">
        <w:rPr>
          <w:rFonts w:ascii="Times New Roman" w:hAnsi="Times New Roman" w:cs="Times New Roman"/>
          <w:sz w:val="24"/>
          <w:szCs w:val="24"/>
          <w:lang w:val="en-GB"/>
        </w:rPr>
        <w:t>there is no consensus about the role of OPEC as price setter after the 1980s (Loderer, 1985; Smith, 2005; Fattouh, 2005). Most remarkably, Almoguera et al. (2011) suggest that the ability of OPEC to set prices since its creation is rather episodic. The authors find that during the period from 1974 until 2004, OPEC acted similar to a Cournot competition when sharing the global market with non-OPEC oil producers. Their empirical results, as the authors argue, are in favour of specific but non-time-robust price rises due to OPEC</w:t>
      </w:r>
      <w:r w:rsidR="00F01282"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s comparison to the price level under competition.</w:t>
      </w:r>
      <w:r w:rsidR="00F01282" w:rsidRPr="007D2E18">
        <w:rPr>
          <w:rStyle w:val="Refdenotaalpie"/>
          <w:rFonts w:ascii="Times New Roman" w:hAnsi="Times New Roman" w:cs="Times New Roman"/>
          <w:sz w:val="24"/>
          <w:szCs w:val="24"/>
          <w:lang w:val="en-GB"/>
        </w:rPr>
        <w:footnoteReference w:id="8"/>
      </w:r>
      <w:r w:rsidRPr="007D2E18">
        <w:rPr>
          <w:rFonts w:ascii="Times New Roman" w:hAnsi="Times New Roman" w:cs="Times New Roman"/>
          <w:sz w:val="24"/>
          <w:szCs w:val="24"/>
          <w:lang w:val="en-GB"/>
        </w:rPr>
        <w:t xml:space="preserve">    </w:t>
      </w:r>
    </w:p>
    <w:p w14:paraId="5F75350F" w14:textId="77777777" w:rsidR="00F01282" w:rsidRPr="007D2E18" w:rsidRDefault="00F01282" w:rsidP="00A456AE">
      <w:pPr>
        <w:spacing w:after="0" w:line="240" w:lineRule="auto"/>
        <w:jc w:val="both"/>
        <w:rPr>
          <w:rFonts w:ascii="Times New Roman" w:hAnsi="Times New Roman" w:cs="Times New Roman"/>
          <w:sz w:val="24"/>
          <w:szCs w:val="24"/>
          <w:lang w:val="en-GB"/>
        </w:rPr>
      </w:pPr>
    </w:p>
    <w:p w14:paraId="6376DD63" w14:textId="77777777" w:rsidR="00F01282"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The extent to which OPEC sets prices and the effects of non-market externalities in oil spot prices are questionable. It is also questionable if oil price forecasters are aware or affected by these externalities when making their predictions. This is important because major oil supply disruptions bring attached detrimental effects of large unexpected shocks affecting stock indices (Hammoudeh and Eleisa, 2004; Hammoudeh and Li, 2004; Pollet, 2005; Malik and Hammoudeh, 2007; Driesprong et al., 2008; Balcilar et al., 2015) and even leading to recessions (Hamilton, 2003, 2009). Oil prices also carry a substantial amount of information to other prices affecting global inflation (see De Gregorio et al., 2007, Neely and Rapach, 2011, and Medel, 2015, 2016 for details).</w:t>
      </w:r>
    </w:p>
    <w:p w14:paraId="4E7CB3D1" w14:textId="77777777" w:rsidR="00F01282" w:rsidRPr="007D2E18" w:rsidRDefault="00F01282" w:rsidP="00A456AE">
      <w:pPr>
        <w:spacing w:after="0" w:line="240" w:lineRule="auto"/>
        <w:jc w:val="both"/>
        <w:rPr>
          <w:rFonts w:ascii="Times New Roman" w:hAnsi="Times New Roman" w:cs="Times New Roman"/>
          <w:sz w:val="24"/>
          <w:szCs w:val="24"/>
          <w:lang w:val="en-GB"/>
        </w:rPr>
      </w:pPr>
    </w:p>
    <w:p w14:paraId="5957D283" w14:textId="789626B6" w:rsidR="00F01282"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Besides the impact on the level, comprehensive literature also </w:t>
      </w:r>
      <w:r w:rsidR="00F01282" w:rsidRPr="007D2E18">
        <w:rPr>
          <w:rFonts w:ascii="Times New Roman" w:hAnsi="Times New Roman" w:cs="Times New Roman"/>
          <w:sz w:val="24"/>
          <w:szCs w:val="24"/>
          <w:lang w:val="en-GB"/>
        </w:rPr>
        <w:t>analyses</w:t>
      </w:r>
      <w:r w:rsidRPr="007D2E18">
        <w:rPr>
          <w:rFonts w:ascii="Times New Roman" w:hAnsi="Times New Roman" w:cs="Times New Roman"/>
          <w:sz w:val="24"/>
          <w:szCs w:val="24"/>
          <w:lang w:val="en-GB"/>
        </w:rPr>
        <w:t xml:space="preserve"> the impact of OPEC news on oil price volatility. Some examples are Deaves and Krinsky (1992), Horan et al. (2004), Fattouh (2005), Lin and Tamvakis (2010), Aguiar-Conraria and Wen (2012), Cairns and Calfucura (2012), Brémond et al. (2012), López and Muñoz (2012), Schmidbauer and Rösch (2012), and Mensi et al. (2014) among others.</w:t>
      </w:r>
    </w:p>
    <w:p w14:paraId="75BBF581" w14:textId="77777777" w:rsidR="00F01282" w:rsidRPr="007D2E18" w:rsidRDefault="00F01282" w:rsidP="00A456AE">
      <w:pPr>
        <w:spacing w:after="0" w:line="240" w:lineRule="auto"/>
        <w:jc w:val="both"/>
        <w:rPr>
          <w:rFonts w:ascii="Times New Roman" w:hAnsi="Times New Roman" w:cs="Times New Roman"/>
          <w:sz w:val="24"/>
          <w:szCs w:val="24"/>
          <w:lang w:val="en-GB"/>
        </w:rPr>
      </w:pPr>
    </w:p>
    <w:p w14:paraId="2A1E287D" w14:textId="407BDA0F" w:rsidR="0085000C"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lastRenderedPageBreak/>
        <w:t>It is a less clear-cut if just OPEC-related news is the only driver of oil price shocks, or if it is necessary to include a wider spectrum of supply disruptions such as political instability, wars, or any news due to non-market externalities as well as news on alleviating oil supply. This is important because certain OPEC countries have been subject to substantial geopolitical risks and tensions not necessarily affecting the organisation</w:t>
      </w:r>
      <w:r w:rsidR="00AF71F7"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s members countries only. For this reason, a key feature of this article is considering OPEC as one of many other oil-market-based news-generator devices for both oil supply contractions and expansions.</w:t>
      </w:r>
    </w:p>
    <w:p w14:paraId="620406C5" w14:textId="77777777" w:rsidR="0085000C" w:rsidRPr="007D2E18" w:rsidRDefault="0085000C" w:rsidP="00A456AE">
      <w:pPr>
        <w:spacing w:after="0" w:line="240" w:lineRule="auto"/>
        <w:jc w:val="both"/>
        <w:rPr>
          <w:rFonts w:ascii="Times New Roman" w:hAnsi="Times New Roman" w:cs="Times New Roman"/>
          <w:sz w:val="24"/>
          <w:szCs w:val="24"/>
          <w:lang w:val="en-GB"/>
        </w:rPr>
      </w:pPr>
    </w:p>
    <w:p w14:paraId="4F8498B8" w14:textId="5B72F329" w:rsidR="0085000C" w:rsidRPr="007D2E18" w:rsidRDefault="00CC6F9C" w:rsidP="00CC6F9C">
      <w:pPr>
        <w:pStyle w:val="Prrafodelista"/>
        <w:numPr>
          <w:ilvl w:val="0"/>
          <w:numId w:val="1"/>
        </w:numPr>
        <w:spacing w:after="0" w:line="240" w:lineRule="auto"/>
        <w:jc w:val="both"/>
        <w:rPr>
          <w:rFonts w:ascii="Times New Roman" w:hAnsi="Times New Roman" w:cs="Times New Roman"/>
          <w:b/>
          <w:bCs/>
          <w:sz w:val="24"/>
          <w:szCs w:val="24"/>
          <w:lang w:val="en-GB"/>
        </w:rPr>
      </w:pPr>
      <w:r w:rsidRPr="007D2E18">
        <w:rPr>
          <w:rFonts w:ascii="Times New Roman" w:hAnsi="Times New Roman" w:cs="Times New Roman"/>
          <w:b/>
          <w:bCs/>
          <w:sz w:val="24"/>
          <w:szCs w:val="24"/>
          <w:lang w:val="en-GB"/>
        </w:rPr>
        <w:t>ECONOMETRIC SETUP</w:t>
      </w:r>
    </w:p>
    <w:p w14:paraId="0406BBBD" w14:textId="77777777" w:rsidR="00F01282" w:rsidRPr="007D2E18" w:rsidRDefault="00F01282" w:rsidP="00A456AE">
      <w:pPr>
        <w:spacing w:after="0" w:line="240" w:lineRule="auto"/>
        <w:jc w:val="both"/>
        <w:rPr>
          <w:rFonts w:ascii="Times New Roman" w:hAnsi="Times New Roman" w:cs="Times New Roman"/>
          <w:sz w:val="24"/>
          <w:szCs w:val="24"/>
          <w:lang w:val="en-GB"/>
        </w:rPr>
      </w:pPr>
    </w:p>
    <w:p w14:paraId="33000841" w14:textId="77777777" w:rsidR="00F01282" w:rsidRPr="007D2E18" w:rsidRDefault="00F01282" w:rsidP="00A456AE">
      <w:pPr>
        <w:spacing w:after="0" w:line="240" w:lineRule="auto"/>
        <w:jc w:val="both"/>
        <w:rPr>
          <w:rFonts w:ascii="Times New Roman" w:hAnsi="Times New Roman" w:cs="Times New Roman"/>
          <w:b/>
          <w:bCs/>
          <w:sz w:val="24"/>
          <w:szCs w:val="24"/>
          <w:lang w:val="en-GB"/>
        </w:rPr>
      </w:pPr>
      <w:r w:rsidRPr="007D2E18">
        <w:rPr>
          <w:rFonts w:ascii="Times New Roman" w:hAnsi="Times New Roman" w:cs="Times New Roman"/>
          <w:b/>
          <w:bCs/>
          <w:sz w:val="24"/>
          <w:szCs w:val="24"/>
          <w:lang w:val="en-GB"/>
        </w:rPr>
        <w:t xml:space="preserve">3.1. </w:t>
      </w:r>
      <w:r w:rsidR="0085000C" w:rsidRPr="007D2E18">
        <w:rPr>
          <w:rFonts w:ascii="Times New Roman" w:hAnsi="Times New Roman" w:cs="Times New Roman"/>
          <w:b/>
          <w:bCs/>
          <w:sz w:val="24"/>
          <w:szCs w:val="24"/>
          <w:lang w:val="en-GB"/>
        </w:rPr>
        <w:t>Granger causality</w:t>
      </w:r>
    </w:p>
    <w:p w14:paraId="525E3CD5" w14:textId="77777777" w:rsidR="00F01282" w:rsidRPr="007D2E18" w:rsidRDefault="00F01282" w:rsidP="00A456AE">
      <w:pPr>
        <w:spacing w:after="0" w:line="240" w:lineRule="auto"/>
        <w:jc w:val="both"/>
        <w:rPr>
          <w:rFonts w:ascii="Times New Roman" w:hAnsi="Times New Roman" w:cs="Times New Roman"/>
          <w:b/>
          <w:bCs/>
          <w:sz w:val="24"/>
          <w:szCs w:val="24"/>
          <w:lang w:val="en-GB"/>
        </w:rPr>
      </w:pPr>
    </w:p>
    <w:p w14:paraId="6A4FA152" w14:textId="332E5DC5" w:rsidR="0085000C" w:rsidRPr="007D2E18" w:rsidRDefault="0085000C" w:rsidP="00A456AE">
      <w:pPr>
        <w:spacing w:after="0" w:line="240" w:lineRule="auto"/>
        <w:jc w:val="both"/>
        <w:rPr>
          <w:rFonts w:ascii="Times New Roman" w:hAnsi="Times New Roman" w:cs="Times New Roman"/>
          <w:b/>
          <w:bCs/>
          <w:sz w:val="24"/>
          <w:szCs w:val="24"/>
          <w:lang w:val="en-GB"/>
        </w:rPr>
      </w:pPr>
      <w:r w:rsidRPr="007D2E18">
        <w:rPr>
          <w:rFonts w:ascii="Times New Roman" w:hAnsi="Times New Roman" w:cs="Times New Roman"/>
          <w:sz w:val="24"/>
          <w:szCs w:val="24"/>
          <w:lang w:val="en-GB"/>
        </w:rPr>
        <w:t xml:space="preserve">The notion of Granger causality is as simple as it is useful, and different from ordinary causality. It states that if lagged values of a variable </w:t>
      </w: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t</m:t>
            </m:r>
          </m:sub>
        </m:sSub>
      </m:oMath>
      <w:r w:rsidRPr="007D2E18">
        <w:rPr>
          <w:rFonts w:ascii="Times New Roman" w:hAnsi="Times New Roman" w:cs="Times New Roman"/>
          <w:sz w:val="24"/>
          <w:szCs w:val="24"/>
          <w:lang w:val="en-GB"/>
        </w:rPr>
        <w:t xml:space="preserve"> predict current values of another variable </w:t>
      </w: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y</m:t>
            </m:r>
          </m:e>
          <m:sub>
            <m:r>
              <w:rPr>
                <w:rFonts w:ascii="Cambria Math" w:hAnsi="Cambria Math" w:cs="Times New Roman"/>
                <w:sz w:val="24"/>
                <w:szCs w:val="24"/>
                <w:lang w:val="en-GB"/>
              </w:rPr>
              <m:t>t</m:t>
            </m:r>
          </m:sub>
        </m:sSub>
      </m:oMath>
      <w:r w:rsidRPr="007D2E18">
        <w:rPr>
          <w:rFonts w:ascii="Times New Roman" w:hAnsi="Times New Roman" w:cs="Times New Roman"/>
          <w:sz w:val="24"/>
          <w:szCs w:val="24"/>
          <w:lang w:val="en-GB"/>
        </w:rPr>
        <w:t xml:space="preserve">, and that forecast of </w:t>
      </w: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y</m:t>
            </m:r>
          </m:e>
          <m:sub>
            <m:r>
              <w:rPr>
                <w:rFonts w:ascii="Cambria Math" w:hAnsi="Cambria Math" w:cs="Times New Roman"/>
                <w:sz w:val="24"/>
                <w:szCs w:val="24"/>
                <w:lang w:val="en-GB"/>
              </w:rPr>
              <m:t>t</m:t>
            </m:r>
          </m:sub>
        </m:sSub>
      </m:oMath>
      <w:r w:rsidRPr="007D2E18">
        <w:rPr>
          <w:rFonts w:ascii="Times New Roman" w:hAnsi="Times New Roman" w:cs="Times New Roman"/>
          <w:sz w:val="24"/>
          <w:szCs w:val="24"/>
          <w:lang w:val="en-GB"/>
        </w:rPr>
        <w:t xml:space="preserve"> includes lags of </w:t>
      </w: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t</m:t>
            </m:r>
          </m:sub>
        </m:sSub>
      </m:oMath>
      <w:r w:rsidRPr="007D2E18">
        <w:rPr>
          <w:rFonts w:ascii="Times New Roman" w:hAnsi="Times New Roman" w:cs="Times New Roman"/>
          <w:sz w:val="24"/>
          <w:szCs w:val="24"/>
          <w:lang w:val="en-GB"/>
        </w:rPr>
        <w:t xml:space="preserve"> as well as </w:t>
      </w: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y</m:t>
            </m:r>
          </m:e>
          <m:sub>
            <m:r>
              <w:rPr>
                <w:rFonts w:ascii="Cambria Math" w:hAnsi="Cambria Math" w:cs="Times New Roman"/>
                <w:sz w:val="24"/>
                <w:szCs w:val="24"/>
                <w:lang w:val="en-GB"/>
              </w:rPr>
              <m:t>t</m:t>
            </m:r>
          </m:sub>
        </m:sSub>
      </m:oMath>
      <w:r w:rsidRPr="007D2E18">
        <w:rPr>
          <w:rFonts w:ascii="Times New Roman" w:hAnsi="Times New Roman" w:cs="Times New Roman"/>
          <w:sz w:val="24"/>
          <w:szCs w:val="24"/>
          <w:lang w:val="en-GB"/>
        </w:rPr>
        <w:t xml:space="preserve">, then </w:t>
      </w: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t</m:t>
            </m:r>
          </m:sub>
        </m:sSub>
      </m:oMath>
      <w:r w:rsidRPr="007D2E18">
        <w:rPr>
          <w:rFonts w:ascii="Times New Roman" w:hAnsi="Times New Roman" w:cs="Times New Roman"/>
          <w:sz w:val="24"/>
          <w:szCs w:val="24"/>
          <w:lang w:val="en-GB"/>
        </w:rPr>
        <w:t xml:space="preserve"> Granger cause </w:t>
      </w: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y</m:t>
            </m:r>
          </m:e>
          <m:sub>
            <m:r>
              <w:rPr>
                <w:rFonts w:ascii="Cambria Math" w:hAnsi="Cambria Math" w:cs="Times New Roman"/>
                <w:sz w:val="24"/>
                <w:szCs w:val="24"/>
                <w:lang w:val="en-GB"/>
              </w:rPr>
              <m:t>t</m:t>
            </m:r>
          </m:sub>
        </m:sSub>
      </m:oMath>
      <w:r w:rsidRPr="007D2E18">
        <w:rPr>
          <w:rFonts w:ascii="Times New Roman" w:hAnsi="Times New Roman" w:cs="Times New Roman"/>
          <w:sz w:val="24"/>
          <w:szCs w:val="24"/>
          <w:lang w:val="en-GB"/>
        </w:rPr>
        <w:t xml:space="preserve"> (short notation: </w:t>
      </w: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t</m:t>
            </m:r>
          </m:sub>
        </m:sSub>
        <m:r>
          <w:rPr>
            <w:rFonts w:ascii="Cambria Math" w:hAnsi="Cambria Math" w:cs="Times New Roman"/>
            <w:sz w:val="24"/>
            <w:szCs w:val="24"/>
            <w:lang w:val="en-GB"/>
          </w:rPr>
          <m:t>→</m:t>
        </m:r>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y</m:t>
            </m:r>
          </m:e>
          <m:sub>
            <m:r>
              <w:rPr>
                <w:rFonts w:ascii="Cambria Math" w:hAnsi="Cambria Math" w:cs="Times New Roman"/>
                <w:sz w:val="24"/>
                <w:szCs w:val="24"/>
                <w:lang w:val="en-GB"/>
              </w:rPr>
              <m:t>t</m:t>
            </m:r>
          </m:sub>
        </m:sSub>
      </m:oMath>
      <w:r w:rsidRPr="007D2E18">
        <w:rPr>
          <w:rFonts w:ascii="Times New Roman" w:hAnsi="Times New Roman" w:cs="Times New Roman"/>
          <w:sz w:val="24"/>
          <w:szCs w:val="24"/>
          <w:lang w:val="en-GB"/>
        </w:rPr>
        <w:t>). In this article, we make use of the Hsiao (1981) version of Granger causality, extending it to a joint significance F-test of a whole set of parameters associated with the independent variable (</w:t>
      </w: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t</m:t>
            </m:r>
          </m:sub>
        </m:sSub>
      </m:oMath>
      <w:r w:rsidRPr="007D2E18">
        <w:rPr>
          <w:rFonts w:ascii="Times New Roman" w:hAnsi="Times New Roman" w:cs="Times New Roman"/>
          <w:sz w:val="24"/>
          <w:szCs w:val="24"/>
          <w:lang w:val="en-GB"/>
        </w:rPr>
        <w:t>) that cause the dependent variable (</w:t>
      </w: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y</m:t>
            </m:r>
          </m:e>
          <m:sub>
            <m:r>
              <w:rPr>
                <w:rFonts w:ascii="Cambria Math" w:hAnsi="Cambria Math" w:cs="Times New Roman"/>
                <w:sz w:val="24"/>
                <w:szCs w:val="24"/>
                <w:lang w:val="en-GB"/>
              </w:rPr>
              <m:t>t</m:t>
            </m:r>
          </m:sub>
        </m:sSub>
      </m:oMath>
      <w:r w:rsidRPr="007D2E18">
        <w:rPr>
          <w:rFonts w:ascii="Times New Roman" w:hAnsi="Times New Roman" w:cs="Times New Roman"/>
          <w:sz w:val="24"/>
          <w:szCs w:val="24"/>
          <w:lang w:val="en-GB"/>
        </w:rPr>
        <w:t xml:space="preserve">). Formally, this corresponds to testing if all the lags of </w:t>
      </w: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t</m:t>
            </m:r>
          </m:sub>
        </m:sSub>
      </m:oMath>
      <w:r w:rsidRPr="007D2E18">
        <w:rPr>
          <w:rFonts w:ascii="Times New Roman" w:hAnsi="Times New Roman" w:cs="Times New Roman"/>
          <w:sz w:val="24"/>
          <w:szCs w:val="24"/>
          <w:lang w:val="en-GB"/>
        </w:rPr>
        <w:t xml:space="preserve"> are jointly statistically different from zero in the following regression:</w:t>
      </w:r>
    </w:p>
    <w:p w14:paraId="0BECB529" w14:textId="0DD6900C" w:rsidR="0085000C" w:rsidRPr="007D2E18" w:rsidRDefault="0085000C" w:rsidP="00A456AE">
      <w:pPr>
        <w:spacing w:after="0" w:line="240" w:lineRule="auto"/>
        <w:jc w:val="both"/>
        <w:rPr>
          <w:rFonts w:ascii="Times New Roman" w:hAnsi="Times New Roman" w:cs="Times New Roman"/>
          <w:sz w:val="24"/>
          <w:szCs w:val="24"/>
          <w:lang w:val="en-GB"/>
        </w:rPr>
      </w:pPr>
    </w:p>
    <w:p w14:paraId="7B60D214" w14:textId="6D989212" w:rsidR="009C30CA" w:rsidRPr="007D2E18" w:rsidRDefault="000C0297" w:rsidP="00A456AE">
      <w:pPr>
        <w:spacing w:after="0" w:line="240" w:lineRule="auto"/>
        <w:jc w:val="both"/>
        <w:rPr>
          <w:rFonts w:ascii="Times New Roman" w:hAnsi="Times New Roman" w:cs="Times New Roman"/>
          <w:sz w:val="24"/>
          <w:szCs w:val="24"/>
          <w:lang w:val="en-GB"/>
        </w:rPr>
      </w:pP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y</m:t>
            </m:r>
          </m:e>
          <m:sub>
            <m:r>
              <w:rPr>
                <w:rFonts w:ascii="Cambria Math" w:hAnsi="Cambria Math" w:cs="Times New Roman"/>
                <w:sz w:val="24"/>
                <w:szCs w:val="24"/>
                <w:lang w:val="en-GB"/>
              </w:rPr>
              <m:t>t</m:t>
            </m:r>
          </m:sub>
        </m:sSub>
        <m:r>
          <w:rPr>
            <w:rFonts w:ascii="Cambria Math" w:hAnsi="Cambria Math" w:cs="Times New Roman"/>
            <w:sz w:val="24"/>
            <w:szCs w:val="24"/>
            <w:lang w:val="en-GB"/>
          </w:rPr>
          <m:t>=μ+</m:t>
        </m:r>
        <m:nary>
          <m:naryPr>
            <m:chr m:val="∑"/>
            <m:limLoc m:val="undOvr"/>
            <m:ctrlPr>
              <w:rPr>
                <w:rFonts w:ascii="Cambria Math" w:hAnsi="Cambria Math" w:cs="Times New Roman"/>
                <w:i/>
                <w:sz w:val="24"/>
                <w:szCs w:val="24"/>
                <w:lang w:val="en-GB"/>
              </w:rPr>
            </m:ctrlPr>
          </m:naryPr>
          <m:sub>
            <m:r>
              <w:rPr>
                <w:rFonts w:ascii="Cambria Math" w:hAnsi="Cambria Math" w:cs="Times New Roman"/>
                <w:sz w:val="24"/>
                <w:szCs w:val="24"/>
                <w:lang w:val="en-GB"/>
              </w:rPr>
              <m:t>i=1</m:t>
            </m:r>
          </m:sub>
          <m:sup>
            <m:sSub>
              <m:sSubPr>
                <m:ctrlPr>
                  <w:rPr>
                    <w:rFonts w:ascii="Cambria Math" w:hAnsi="Cambria Math" w:cs="Times New Roman"/>
                    <w:i/>
                    <w:sz w:val="24"/>
                    <w:szCs w:val="24"/>
                    <w:lang w:val="en-GB"/>
                  </w:rPr>
                </m:ctrlPr>
              </m:sSubPr>
              <m:e>
                <m:r>
                  <w:rPr>
                    <w:rFonts w:ascii="Cambria Math" w:hAnsi="Cambria Math" w:cs="Times New Roman"/>
                    <w:sz w:val="24"/>
                    <w:szCs w:val="24"/>
                    <w:lang w:val="en-GB"/>
                  </w:rPr>
                  <m:t>p</m:t>
                </m:r>
              </m:e>
              <m:sub>
                <m:r>
                  <w:rPr>
                    <w:rFonts w:ascii="Cambria Math" w:hAnsi="Cambria Math" w:cs="Times New Roman"/>
                    <w:sz w:val="24"/>
                    <w:szCs w:val="24"/>
                    <w:lang w:val="en-GB"/>
                  </w:rPr>
                  <m:t>y</m:t>
                </m:r>
              </m:sub>
            </m:sSub>
          </m:sup>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ϕ</m:t>
                </m:r>
              </m:e>
              <m:sub>
                <m:r>
                  <w:rPr>
                    <w:rFonts w:ascii="Cambria Math" w:hAnsi="Cambria Math" w:cs="Times New Roman"/>
                    <w:sz w:val="24"/>
                    <w:szCs w:val="24"/>
                    <w:lang w:val="en-GB"/>
                  </w:rPr>
                  <m:t>i</m:t>
                </m:r>
              </m:sub>
            </m:sSub>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y</m:t>
                </m:r>
              </m:e>
              <m:sub>
                <m:r>
                  <w:rPr>
                    <w:rFonts w:ascii="Cambria Math" w:hAnsi="Cambria Math" w:cs="Times New Roman"/>
                    <w:sz w:val="24"/>
                    <w:szCs w:val="24"/>
                    <w:lang w:val="en-GB"/>
                  </w:rPr>
                  <m:t>t-i</m:t>
                </m:r>
              </m:sub>
            </m:sSub>
          </m:e>
        </m:nary>
        <m:r>
          <w:rPr>
            <w:rFonts w:ascii="Cambria Math" w:eastAsiaTheme="minorEastAsia" w:hAnsi="Cambria Math" w:cs="Times New Roman"/>
            <w:sz w:val="24"/>
            <w:szCs w:val="24"/>
            <w:lang w:val="en-GB"/>
          </w:rPr>
          <m:t>+</m:t>
        </m:r>
        <m:nary>
          <m:naryPr>
            <m:chr m:val="∑"/>
            <m:limLoc m:val="undOvr"/>
            <m:ctrlPr>
              <w:rPr>
                <w:rFonts w:ascii="Cambria Math" w:hAnsi="Cambria Math" w:cs="Times New Roman"/>
                <w:i/>
                <w:sz w:val="24"/>
                <w:szCs w:val="24"/>
                <w:lang w:val="en-GB"/>
              </w:rPr>
            </m:ctrlPr>
          </m:naryPr>
          <m:sub>
            <m:r>
              <w:rPr>
                <w:rFonts w:ascii="Cambria Math" w:hAnsi="Cambria Math" w:cs="Times New Roman"/>
                <w:sz w:val="24"/>
                <w:szCs w:val="24"/>
                <w:lang w:val="en-GB"/>
              </w:rPr>
              <m:t>j=1</m:t>
            </m:r>
          </m:sub>
          <m:sup>
            <m:sSub>
              <m:sSubPr>
                <m:ctrlPr>
                  <w:rPr>
                    <w:rFonts w:ascii="Cambria Math" w:hAnsi="Cambria Math" w:cs="Times New Roman"/>
                    <w:i/>
                    <w:sz w:val="24"/>
                    <w:szCs w:val="24"/>
                    <w:lang w:val="en-GB"/>
                  </w:rPr>
                </m:ctrlPr>
              </m:sSubPr>
              <m:e>
                <m:r>
                  <w:rPr>
                    <w:rFonts w:ascii="Cambria Math" w:hAnsi="Cambria Math" w:cs="Times New Roman"/>
                    <w:sz w:val="24"/>
                    <w:szCs w:val="24"/>
                    <w:lang w:val="en-GB"/>
                  </w:rPr>
                  <m:t>p</m:t>
                </m:r>
              </m:e>
              <m:sub>
                <m:r>
                  <w:rPr>
                    <w:rFonts w:ascii="Cambria Math" w:hAnsi="Cambria Math" w:cs="Times New Roman"/>
                    <w:sz w:val="24"/>
                    <w:szCs w:val="24"/>
                    <w:lang w:val="en-GB"/>
                  </w:rPr>
                  <m:t>x</m:t>
                </m:r>
              </m:sub>
            </m:sSub>
          </m:sup>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θ</m:t>
                </m:r>
              </m:e>
              <m:sub>
                <m:r>
                  <w:rPr>
                    <w:rFonts w:ascii="Cambria Math" w:hAnsi="Cambria Math" w:cs="Times New Roman"/>
                    <w:sz w:val="24"/>
                    <w:szCs w:val="24"/>
                    <w:lang w:val="en-GB"/>
                  </w:rPr>
                  <m:t>j</m:t>
                </m:r>
              </m:sub>
            </m:sSub>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t-j</m:t>
                </m:r>
              </m:sub>
            </m:sSub>
          </m:e>
        </m:nary>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t</m:t>
            </m:r>
          </m:sub>
        </m:sSub>
        <m:r>
          <w:rPr>
            <w:rFonts w:ascii="Cambria Math" w:hAnsi="Cambria Math" w:cs="Times New Roman"/>
            <w:sz w:val="24"/>
            <w:szCs w:val="24"/>
            <w:lang w:val="en-GB"/>
          </w:rPr>
          <m:t>,</m:t>
        </m:r>
      </m:oMath>
      <w:r w:rsidR="009B516A" w:rsidRPr="007D2E18">
        <w:rPr>
          <w:rFonts w:ascii="Times New Roman" w:eastAsiaTheme="minorEastAsia" w:hAnsi="Times New Roman" w:cs="Times New Roman"/>
          <w:sz w:val="24"/>
          <w:szCs w:val="24"/>
          <w:lang w:val="en-GB"/>
        </w:rPr>
        <w:tab/>
        <w:t>(1)</w:t>
      </w:r>
    </w:p>
    <w:p w14:paraId="69B1DE53" w14:textId="77777777" w:rsidR="0085000C" w:rsidRPr="007D2E18" w:rsidRDefault="0085000C" w:rsidP="00A456AE">
      <w:pPr>
        <w:spacing w:after="0" w:line="240" w:lineRule="auto"/>
        <w:jc w:val="both"/>
        <w:rPr>
          <w:rFonts w:ascii="Times New Roman" w:hAnsi="Times New Roman" w:cs="Times New Roman"/>
          <w:sz w:val="24"/>
          <w:szCs w:val="24"/>
          <w:lang w:val="en-GB"/>
        </w:rPr>
      </w:pPr>
    </w:p>
    <w:p w14:paraId="49124984" w14:textId="77777777" w:rsidR="009B516A"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where lags of </w:t>
      </w: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y</m:t>
            </m:r>
          </m:e>
          <m:sub>
            <m:r>
              <w:rPr>
                <w:rFonts w:ascii="Cambria Math" w:hAnsi="Cambria Math" w:cs="Times New Roman"/>
                <w:sz w:val="24"/>
                <w:szCs w:val="24"/>
                <w:lang w:val="en-GB"/>
              </w:rPr>
              <m:t>t</m:t>
            </m:r>
          </m:sub>
        </m:sSub>
      </m:oMath>
      <w:r w:rsidRPr="007D2E18">
        <w:rPr>
          <w:rFonts w:ascii="Times New Roman" w:hAnsi="Times New Roman" w:cs="Times New Roman"/>
          <w:sz w:val="24"/>
          <w:szCs w:val="24"/>
          <w:lang w:val="en-GB"/>
        </w:rPr>
        <w:t xml:space="preserve"> control for autocorrelation,</w:t>
      </w:r>
      <w:r w:rsidR="009B516A" w:rsidRPr="007D2E18">
        <w:rPr>
          <w:rFonts w:ascii="Times New Roman" w:hAnsi="Times New Roman" w:cs="Times New Roman"/>
          <w:sz w:val="24"/>
          <w:szCs w:val="24"/>
          <w:lang w:val="en-GB"/>
        </w:rPr>
        <w:t xml:space="preserve"> </w:t>
      </w:r>
      <m:oMath>
        <m:d>
          <m:dPr>
            <m:begChr m:val="{"/>
            <m:endChr m:val="}"/>
            <m:ctrlPr>
              <w:rPr>
                <w:rFonts w:ascii="Cambria Math" w:hAnsi="Cambria Math" w:cs="Times New Roman"/>
                <w:i/>
                <w:sz w:val="24"/>
                <w:szCs w:val="24"/>
                <w:lang w:val="en-GB"/>
              </w:rPr>
            </m:ctrlPr>
          </m:dPr>
          <m:e>
            <m:r>
              <w:rPr>
                <w:rFonts w:ascii="Cambria Math" w:hAnsi="Cambria Math" w:cs="Times New Roman"/>
                <w:sz w:val="24"/>
                <w:szCs w:val="24"/>
                <w:lang w:val="en-GB"/>
              </w:rPr>
              <m:t>μ;ϕ;θ;</m:t>
            </m:r>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ε</m:t>
                </m:r>
              </m:sub>
              <m:sup>
                <m:r>
                  <w:rPr>
                    <w:rFonts w:ascii="Cambria Math" w:hAnsi="Cambria Math" w:cs="Times New Roman"/>
                    <w:sz w:val="24"/>
                    <w:szCs w:val="24"/>
                    <w:lang w:val="en-GB"/>
                  </w:rPr>
                  <m:t>2</m:t>
                </m:r>
              </m:sup>
            </m:sSubSup>
          </m:e>
        </m:d>
      </m:oMath>
      <w:r w:rsidRPr="007D2E18">
        <w:rPr>
          <w:rFonts w:ascii="Times New Roman" w:hAnsi="Times New Roman" w:cs="Times New Roman"/>
          <w:sz w:val="24"/>
          <w:szCs w:val="24"/>
          <w:lang w:val="en-GB"/>
        </w:rPr>
        <w:t xml:space="preserve"> are parameters to be estimated with, say, ordinary least squares, assuming </w:t>
      </w:r>
      <w:r w:rsidR="009B516A" w:rsidRPr="007D2E18">
        <w:rPr>
          <w:rFonts w:ascii="Times New Roman" w:hAnsi="Times New Roman" w:cs="Times New Roman"/>
          <w:sz w:val="24"/>
          <w:szCs w:val="24"/>
          <w:lang w:val="en-GB"/>
        </w:rPr>
        <w:t xml:space="preserve"> </w:t>
      </w: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t</m:t>
            </m:r>
          </m:sub>
        </m:sSub>
        <m:r>
          <w:rPr>
            <w:rFonts w:ascii="Cambria Math" w:hAnsi="Cambria Math" w:cs="Times New Roman"/>
            <w:sz w:val="24"/>
            <w:szCs w:val="24"/>
            <w:lang w:val="en-GB"/>
          </w:rPr>
          <m:t>~iidN(0,</m:t>
        </m:r>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ε</m:t>
            </m:r>
          </m:sub>
          <m:sup>
            <m:r>
              <w:rPr>
                <w:rFonts w:ascii="Cambria Math" w:hAnsi="Cambria Math" w:cs="Times New Roman"/>
                <w:sz w:val="24"/>
                <w:szCs w:val="24"/>
                <w:lang w:val="en-GB"/>
              </w:rPr>
              <m:t>2</m:t>
            </m:r>
          </m:sup>
        </m:sSubSup>
        <m:r>
          <w:rPr>
            <w:rFonts w:ascii="Cambria Math" w:hAnsi="Cambria Math" w:cs="Times New Roman"/>
            <w:sz w:val="24"/>
            <w:szCs w:val="24"/>
            <w:lang w:val="en-GB"/>
          </w:rPr>
          <m:t>)</m:t>
        </m:r>
      </m:oMath>
      <w:r w:rsidRPr="007D2E18">
        <w:rPr>
          <w:rFonts w:ascii="Times New Roman" w:hAnsi="Times New Roman" w:cs="Times New Roman"/>
          <w:sz w:val="24"/>
          <w:szCs w:val="24"/>
          <w:lang w:val="en-GB"/>
        </w:rPr>
        <w:t xml:space="preserve">. The autoregressive orders </w:t>
      </w:r>
      <m:oMath>
        <m:d>
          <m:dPr>
            <m:ctrlPr>
              <w:rPr>
                <w:rFonts w:ascii="Cambria Math" w:hAnsi="Cambria Math" w:cs="Times New Roman"/>
                <w:i/>
                <w:sz w:val="24"/>
                <w:szCs w:val="24"/>
                <w:lang w:val="en-GB"/>
              </w:rPr>
            </m:ctrlPr>
          </m:d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p</m:t>
                </m:r>
              </m:e>
              <m:sub>
                <m:r>
                  <w:rPr>
                    <w:rFonts w:ascii="Cambria Math" w:hAnsi="Cambria Math" w:cs="Times New Roman"/>
                    <w:sz w:val="24"/>
                    <w:szCs w:val="24"/>
                    <w:lang w:val="en-GB"/>
                  </w:rPr>
                  <m:t>y</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p</m:t>
                </m:r>
              </m:e>
              <m:sub>
                <m:r>
                  <w:rPr>
                    <w:rFonts w:ascii="Cambria Math" w:hAnsi="Cambria Math" w:cs="Times New Roman"/>
                    <w:sz w:val="24"/>
                    <w:szCs w:val="24"/>
                    <w:lang w:val="en-GB"/>
                  </w:rPr>
                  <m:t>x</m:t>
                </m:r>
              </m:sub>
            </m:sSub>
          </m:e>
        </m:d>
      </m:oMath>
      <w:r w:rsidRPr="007D2E18">
        <w:rPr>
          <w:rFonts w:ascii="Times New Roman" w:hAnsi="Times New Roman" w:cs="Times New Roman"/>
          <w:sz w:val="24"/>
          <w:szCs w:val="24"/>
          <w:lang w:val="en-GB"/>
        </w:rPr>
        <w:t xml:space="preserve"> in equation (1) vary from one to six lags to control for autocorrelation </w:t>
      </w:r>
      <m:oMath>
        <m:d>
          <m:dPr>
            <m:ctrlPr>
              <w:rPr>
                <w:rFonts w:ascii="Cambria Math" w:hAnsi="Cambria Math" w:cs="Times New Roman"/>
                <w:i/>
                <w:sz w:val="24"/>
                <w:szCs w:val="24"/>
                <w:lang w:val="en-GB"/>
              </w:rPr>
            </m:ctrlPr>
          </m:d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p</m:t>
                </m:r>
              </m:e>
              <m:sub>
                <m:r>
                  <w:rPr>
                    <w:rFonts w:ascii="Cambria Math" w:hAnsi="Cambria Math" w:cs="Times New Roman"/>
                    <w:sz w:val="24"/>
                    <w:szCs w:val="24"/>
                    <w:lang w:val="en-GB"/>
                  </w:rPr>
                  <m:t>y</m:t>
                </m:r>
              </m:sub>
            </m:sSub>
          </m:e>
        </m:d>
      </m:oMath>
      <w:r w:rsidRPr="007D2E18">
        <w:rPr>
          <w:rFonts w:ascii="Times New Roman" w:hAnsi="Times New Roman" w:cs="Times New Roman"/>
          <w:sz w:val="24"/>
          <w:szCs w:val="24"/>
          <w:lang w:val="en-GB"/>
        </w:rPr>
        <w:t xml:space="preserve"> and to extend the Granger causality hypothesis testing </w:t>
      </w:r>
      <m:oMath>
        <m:d>
          <m:dPr>
            <m:ctrlPr>
              <w:rPr>
                <w:rFonts w:ascii="Cambria Math" w:hAnsi="Cambria Math" w:cs="Times New Roman"/>
                <w:i/>
                <w:sz w:val="24"/>
                <w:szCs w:val="24"/>
                <w:lang w:val="en-GB"/>
              </w:rPr>
            </m:ctrlPr>
          </m:d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p</m:t>
                </m:r>
              </m:e>
              <m:sub>
                <m:r>
                  <w:rPr>
                    <w:rFonts w:ascii="Cambria Math" w:hAnsi="Cambria Math" w:cs="Times New Roman"/>
                    <w:sz w:val="24"/>
                    <w:szCs w:val="24"/>
                    <w:lang w:val="en-GB"/>
                  </w:rPr>
                  <m:t>x</m:t>
                </m:r>
              </m:sub>
            </m:sSub>
          </m:e>
        </m:d>
      </m:oMath>
      <w:r w:rsidRPr="007D2E18">
        <w:rPr>
          <w:rFonts w:ascii="Times New Roman" w:hAnsi="Times New Roman" w:cs="Times New Roman"/>
          <w:sz w:val="24"/>
          <w:szCs w:val="24"/>
          <w:lang w:val="en-GB"/>
        </w:rPr>
        <w:t>.</w:t>
      </w:r>
    </w:p>
    <w:p w14:paraId="26C6ED6B" w14:textId="77777777" w:rsidR="009B516A" w:rsidRPr="007D2E18" w:rsidRDefault="009B516A" w:rsidP="00A456AE">
      <w:pPr>
        <w:spacing w:after="0" w:line="240" w:lineRule="auto"/>
        <w:jc w:val="both"/>
        <w:rPr>
          <w:rFonts w:ascii="Times New Roman" w:hAnsi="Times New Roman" w:cs="Times New Roman"/>
          <w:sz w:val="24"/>
          <w:szCs w:val="24"/>
          <w:lang w:val="en-GB"/>
        </w:rPr>
      </w:pPr>
    </w:p>
    <w:p w14:paraId="1DDA6EA0" w14:textId="7C3C07EB" w:rsidR="00CE6C72"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Statistical inference is carried out by testing the joint null hypothesis </w:t>
      </w:r>
      <m:oMath>
        <m:r>
          <w:rPr>
            <w:rFonts w:ascii="Cambria Math" w:hAnsi="Cambria Math" w:cs="Times New Roman"/>
            <w:sz w:val="24"/>
            <w:szCs w:val="24"/>
            <w:lang w:val="en-GB"/>
          </w:rPr>
          <m:t>NH:</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θ</m:t>
            </m:r>
          </m:e>
          <m:sub>
            <m:r>
              <w:rPr>
                <w:rFonts w:ascii="Cambria Math" w:hAnsi="Cambria Math" w:cs="Times New Roman"/>
                <w:sz w:val="24"/>
                <w:szCs w:val="24"/>
                <w:lang w:val="en-GB"/>
              </w:rPr>
              <m:t>1</m:t>
            </m:r>
          </m:sub>
        </m:sSub>
        <m:r>
          <w:rPr>
            <w:rFonts w:ascii="Cambria Math" w:hAnsi="Cambria Math" w:cs="Times New Roman"/>
            <w:sz w:val="24"/>
            <w:szCs w:val="24"/>
            <w:lang w:val="en-GB"/>
          </w:rPr>
          <m:t>=</m:t>
        </m:r>
        <m:r>
          <w:rPr>
            <w:rFonts w:ascii="Cambria Math" w:eastAsiaTheme="minorEastAsia"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θ</m:t>
            </m:r>
          </m:e>
          <m:sub>
            <m:sSub>
              <m:sSubPr>
                <m:ctrlPr>
                  <w:rPr>
                    <w:rFonts w:ascii="Cambria Math" w:hAnsi="Cambria Math" w:cs="Times New Roman"/>
                    <w:i/>
                    <w:sz w:val="24"/>
                    <w:szCs w:val="24"/>
                    <w:lang w:val="en-GB"/>
                  </w:rPr>
                </m:ctrlPr>
              </m:sSubPr>
              <m:e>
                <m:r>
                  <w:rPr>
                    <w:rFonts w:ascii="Cambria Math" w:hAnsi="Cambria Math" w:cs="Times New Roman"/>
                    <w:sz w:val="24"/>
                    <w:szCs w:val="24"/>
                    <w:lang w:val="en-GB"/>
                  </w:rPr>
                  <m:t>p</m:t>
                </m:r>
              </m:e>
              <m:sub>
                <m:r>
                  <w:rPr>
                    <w:rFonts w:ascii="Cambria Math" w:hAnsi="Cambria Math" w:cs="Times New Roman"/>
                    <w:sz w:val="24"/>
                    <w:szCs w:val="24"/>
                    <w:lang w:val="en-GB"/>
                  </w:rPr>
                  <m:t>x</m:t>
                </m:r>
              </m:sub>
            </m:sSub>
          </m:sub>
        </m:sSub>
        <m:r>
          <w:rPr>
            <w:rFonts w:ascii="Cambria Math" w:hAnsi="Cambria Math" w:cs="Times New Roman"/>
            <w:sz w:val="24"/>
            <w:szCs w:val="24"/>
            <w:lang w:val="en-GB"/>
          </w:rPr>
          <m:t>=0</m:t>
        </m:r>
      </m:oMath>
      <w:r w:rsidR="00CE6C72" w:rsidRPr="007D2E18">
        <w:rPr>
          <w:rFonts w:ascii="Times New Roman" w:hAnsi="Times New Roman" w:cs="Times New Roman"/>
          <w:sz w:val="24"/>
          <w:szCs w:val="24"/>
          <w:lang w:val="en-GB"/>
        </w:rPr>
        <w:t xml:space="preserve">  </w:t>
      </w:r>
      <w:r w:rsidRPr="007D2E18">
        <w:rPr>
          <w:rFonts w:ascii="Times New Roman" w:hAnsi="Times New Roman" w:cs="Times New Roman"/>
          <w:sz w:val="24"/>
          <w:szCs w:val="24"/>
          <w:lang w:val="en-GB"/>
        </w:rPr>
        <w:t>(</w:t>
      </w: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t</m:t>
            </m:r>
          </m:sub>
        </m:sSub>
      </m:oMath>
      <w:r w:rsidRPr="007D2E18">
        <w:rPr>
          <w:rFonts w:ascii="Times New Roman" w:hAnsi="Times New Roman" w:cs="Times New Roman"/>
          <w:sz w:val="24"/>
          <w:szCs w:val="24"/>
          <w:lang w:val="en-GB"/>
        </w:rPr>
        <w:t xml:space="preserve"> do not Granger cause </w:t>
      </w: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y</m:t>
            </m:r>
          </m:e>
          <m:sub>
            <m:r>
              <w:rPr>
                <w:rFonts w:ascii="Cambria Math" w:hAnsi="Cambria Math" w:cs="Times New Roman"/>
                <w:sz w:val="24"/>
                <w:szCs w:val="24"/>
                <w:lang w:val="en-GB"/>
              </w:rPr>
              <m:t>t</m:t>
            </m:r>
          </m:sub>
        </m:sSub>
      </m:oMath>
      <w:r w:rsidRPr="007D2E18">
        <w:rPr>
          <w:rFonts w:ascii="Times New Roman" w:hAnsi="Times New Roman" w:cs="Times New Roman"/>
          <w:sz w:val="24"/>
          <w:szCs w:val="24"/>
          <w:lang w:val="en-GB"/>
        </w:rPr>
        <w:t>;</w:t>
      </w:r>
      <w:r w:rsidR="00CE6C72" w:rsidRPr="007D2E18">
        <w:rPr>
          <w:rFonts w:ascii="Times New Roman" w:hAnsi="Times New Roman" w:cs="Times New Roman"/>
          <w:sz w:val="24"/>
          <w:szCs w:val="24"/>
          <w:lang w:val="en-GB"/>
        </w:rPr>
        <w:t xml:space="preserve"> </w:t>
      </w: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t</m:t>
            </m:r>
          </m:sub>
        </m:sSub>
        <m:r>
          <w:rPr>
            <w:rFonts w:ascii="Cambria Math" w:hAnsi="Cambria Math" w:cs="Times New Roman"/>
            <w:sz w:val="24"/>
            <w:szCs w:val="24"/>
            <w:lang w:val="en-GB"/>
          </w:rPr>
          <m:t>↛</m:t>
        </m:r>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y</m:t>
            </m:r>
          </m:e>
          <m:sub>
            <m:r>
              <w:rPr>
                <w:rFonts w:ascii="Cambria Math" w:hAnsi="Cambria Math" w:cs="Times New Roman"/>
                <w:sz w:val="24"/>
                <w:szCs w:val="24"/>
                <w:lang w:val="en-GB"/>
              </w:rPr>
              <m:t>t</m:t>
            </m:r>
          </m:sub>
        </m:sSub>
      </m:oMath>
      <w:r w:rsidRPr="007D2E18">
        <w:rPr>
          <w:rFonts w:ascii="Times New Roman" w:hAnsi="Times New Roman" w:cs="Times New Roman"/>
          <w:sz w:val="24"/>
          <w:szCs w:val="24"/>
          <w:lang w:val="en-GB"/>
        </w:rPr>
        <w:t xml:space="preserve">). The vector that contains the restrictions is F-distributed with </w:t>
      </w:r>
      <m:oMath>
        <m:d>
          <m:dPr>
            <m:ctrlPr>
              <w:rPr>
                <w:rFonts w:ascii="Cambria Math" w:hAnsi="Cambria Math" w:cs="Times New Roman"/>
                <w:i/>
                <w:sz w:val="24"/>
                <w:szCs w:val="24"/>
                <w:lang w:val="en-GB"/>
              </w:rPr>
            </m:ctrlPr>
          </m:d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p</m:t>
                </m:r>
              </m:e>
              <m:sub>
                <m:r>
                  <w:rPr>
                    <w:rFonts w:ascii="Cambria Math" w:hAnsi="Cambria Math" w:cs="Times New Roman"/>
                    <w:sz w:val="24"/>
                    <w:szCs w:val="24"/>
                    <w:lang w:val="en-GB"/>
                  </w:rPr>
                  <m:t>x</m:t>
                </m:r>
              </m:sub>
            </m:sSub>
            <m:r>
              <w:rPr>
                <w:rFonts w:ascii="Cambria Math" w:hAnsi="Cambria Math" w:cs="Times New Roman"/>
                <w:sz w:val="24"/>
                <w:szCs w:val="24"/>
                <w:lang w:val="en-GB"/>
              </w:rPr>
              <m:t>,T-(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p</m:t>
                </m:r>
              </m:e>
              <m:sub>
                <m:r>
                  <w:rPr>
                    <w:rFonts w:ascii="Cambria Math" w:hAnsi="Cambria Math" w:cs="Times New Roman"/>
                    <w:sz w:val="24"/>
                    <w:szCs w:val="24"/>
                    <w:lang w:val="en-GB"/>
                  </w:rPr>
                  <m:t>y</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p</m:t>
                </m:r>
              </m:e>
              <m:sub>
                <m:r>
                  <w:rPr>
                    <w:rFonts w:ascii="Cambria Math" w:hAnsi="Cambria Math" w:cs="Times New Roman"/>
                    <w:sz w:val="24"/>
                    <w:szCs w:val="24"/>
                    <w:lang w:val="en-GB"/>
                  </w:rPr>
                  <m:t>x</m:t>
                </m:r>
              </m:sub>
            </m:sSub>
            <m:r>
              <w:rPr>
                <w:rFonts w:ascii="Cambria Math" w:hAnsi="Cambria Math" w:cs="Times New Roman"/>
                <w:sz w:val="24"/>
                <w:szCs w:val="24"/>
                <w:lang w:val="en-GB"/>
              </w:rPr>
              <m:t>+1)</m:t>
            </m:r>
          </m:e>
        </m:d>
      </m:oMath>
      <w:r w:rsidRPr="007D2E18">
        <w:rPr>
          <w:rFonts w:ascii="Times New Roman" w:hAnsi="Times New Roman" w:cs="Times New Roman"/>
          <w:sz w:val="24"/>
          <w:szCs w:val="24"/>
          <w:lang w:val="en-GB"/>
        </w:rPr>
        <w:t xml:space="preserve"> degrees of freedom (where </w:t>
      </w:r>
      <m:oMath>
        <m:r>
          <w:rPr>
            <w:rFonts w:ascii="Cambria Math" w:hAnsi="Cambria Math" w:cs="Times New Roman"/>
            <w:sz w:val="24"/>
            <w:szCs w:val="24"/>
            <w:lang w:val="en-GB"/>
          </w:rPr>
          <m:t>T</m:t>
        </m:r>
      </m:oMath>
      <w:r w:rsidRPr="007D2E18">
        <w:rPr>
          <w:rFonts w:ascii="Times New Roman" w:hAnsi="Times New Roman" w:cs="Times New Roman"/>
          <w:sz w:val="24"/>
          <w:szCs w:val="24"/>
          <w:lang w:val="en-GB"/>
        </w:rPr>
        <w:t xml:space="preserve"> is the sample size). A formal treatment can be found in Harvey (§8.7, 1990), Hamilton (§11.2, 1994), and Patterson (§8.5, 2000).</w:t>
      </w:r>
    </w:p>
    <w:p w14:paraId="30146E86" w14:textId="77777777" w:rsidR="00CE6C72" w:rsidRPr="007D2E18" w:rsidRDefault="00CE6C72" w:rsidP="00A456AE">
      <w:pPr>
        <w:spacing w:after="0" w:line="240" w:lineRule="auto"/>
        <w:jc w:val="both"/>
        <w:rPr>
          <w:rFonts w:ascii="Times New Roman" w:hAnsi="Times New Roman" w:cs="Times New Roman"/>
          <w:sz w:val="24"/>
          <w:szCs w:val="24"/>
          <w:lang w:val="en-GB"/>
        </w:rPr>
      </w:pPr>
    </w:p>
    <w:p w14:paraId="4A321E8B" w14:textId="23F99B83" w:rsidR="0085000C"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Notice that this inference is possible to make only if the coefficients are unbiased. In order to check for this statistical requirement, we provide the results of the Breusch-Godfrey test for residuals</w:t>
      </w:r>
      <w:r w:rsidR="00AF71F7"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 xml:space="preserve"> autocorrelation (Breusch, 1978; Godfrey, 1978). The suitability of this test relies on its ability to deal with nonstochastic regressors, such as the lagged values of the dependent variable, and testing higher-order autoregressive schemes, such as </w:t>
      </w:r>
      <m:oMath>
        <m:r>
          <w:rPr>
            <w:rFonts w:ascii="Cambria Math" w:hAnsi="Cambria Math" w:cs="Times New Roman"/>
            <w:sz w:val="24"/>
            <w:szCs w:val="24"/>
            <w:lang w:val="en-GB"/>
          </w:rPr>
          <m:t>AR(p)</m:t>
        </m:r>
      </m:oMath>
      <w:r w:rsidRPr="007D2E18">
        <w:rPr>
          <w:rFonts w:ascii="Times New Roman" w:hAnsi="Times New Roman" w:cs="Times New Roman"/>
          <w:sz w:val="24"/>
          <w:szCs w:val="24"/>
          <w:lang w:val="en-GB"/>
        </w:rPr>
        <w:t xml:space="preserve">, with </w:t>
      </w:r>
      <m:oMath>
        <m:r>
          <w:rPr>
            <w:rFonts w:ascii="Cambria Math" w:hAnsi="Cambria Math" w:cs="Times New Roman"/>
            <w:sz w:val="24"/>
            <w:szCs w:val="24"/>
            <w:lang w:val="en-GB"/>
          </w:rPr>
          <m:t>p</m:t>
        </m:r>
        <m:r>
          <w:rPr>
            <w:rFonts w:ascii="Cambria Math" w:eastAsiaTheme="minorEastAsia" w:hAnsi="Cambria Math" w:cs="Times New Roman"/>
            <w:sz w:val="24"/>
            <w:szCs w:val="24"/>
            <w:lang w:val="en-GB"/>
          </w:rPr>
          <m:t>&gt;1</m:t>
        </m:r>
      </m:oMath>
      <w:r w:rsidRPr="007D2E18">
        <w:rPr>
          <w:rFonts w:ascii="Times New Roman" w:hAnsi="Times New Roman" w:cs="Times New Roman"/>
          <w:sz w:val="24"/>
          <w:szCs w:val="24"/>
          <w:lang w:val="en-GB"/>
        </w:rPr>
        <w:t xml:space="preserve">. The test is built-into a Lagrange multiplier test and proceeds as follows. The regression test assumes that residuals in equation (1)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t</m:t>
            </m:r>
          </m:sub>
        </m:sSub>
      </m:oMath>
      <w:r w:rsidRPr="007D2E18">
        <w:rPr>
          <w:rFonts w:ascii="Times New Roman" w:hAnsi="Times New Roman" w:cs="Times New Roman"/>
          <w:sz w:val="24"/>
          <w:szCs w:val="24"/>
          <w:lang w:val="en-GB"/>
        </w:rPr>
        <w:t xml:space="preserve"> follow a </w:t>
      </w:r>
      <m:oMath>
        <m:r>
          <w:rPr>
            <w:rFonts w:ascii="Cambria Math" w:hAnsi="Cambria Math" w:cs="Times New Roman"/>
            <w:sz w:val="24"/>
            <w:szCs w:val="24"/>
            <w:lang w:val="en-GB"/>
          </w:rPr>
          <m:t>p</m:t>
        </m:r>
      </m:oMath>
      <w:r w:rsidRPr="007D2E18">
        <w:rPr>
          <w:rFonts w:ascii="Times New Roman" w:hAnsi="Times New Roman" w:cs="Times New Roman"/>
          <w:sz w:val="24"/>
          <w:szCs w:val="24"/>
          <w:lang w:val="en-GB"/>
        </w:rPr>
        <w:t xml:space="preserve">-th autoregressive process and including the information of the independent variables of equation (1) (labelled as </w:t>
      </w:r>
      <m:oMath>
        <m:sSub>
          <m:sSubPr>
            <m:ctrlPr>
              <w:rPr>
                <w:rFonts w:ascii="Cambria Math" w:hAnsi="Cambria Math" w:cs="Times New Roman"/>
                <w:i/>
                <w:sz w:val="24"/>
                <w:szCs w:val="24"/>
                <w:lang w:val="en-GB"/>
              </w:rPr>
            </m:ctrlPr>
          </m:sSubPr>
          <m:e>
            <m:r>
              <m:rPr>
                <m:sty m:val="b"/>
              </m:rPr>
              <w:rPr>
                <w:rFonts w:ascii="Cambria Math" w:hAnsi="Cambria Math" w:cs="Times New Roman"/>
                <w:sz w:val="24"/>
                <w:szCs w:val="24"/>
                <w:lang w:val="en-GB"/>
              </w:rPr>
              <m:t>X</m:t>
            </m:r>
          </m:e>
          <m:sub>
            <m:r>
              <w:rPr>
                <w:rFonts w:ascii="Cambria Math" w:hAnsi="Cambria Math" w:cs="Times New Roman"/>
                <w:sz w:val="24"/>
                <w:szCs w:val="24"/>
                <w:lang w:val="en-GB"/>
              </w:rPr>
              <m:t>t</m:t>
            </m:r>
          </m:sub>
        </m:sSub>
      </m:oMath>
      <w:r w:rsidRPr="007D2E18">
        <w:rPr>
          <w:rFonts w:ascii="Times New Roman" w:hAnsi="Times New Roman" w:cs="Times New Roman"/>
          <w:sz w:val="24"/>
          <w:szCs w:val="24"/>
          <w:lang w:val="en-GB"/>
        </w:rPr>
        <w:t xml:space="preserve">, and </w:t>
      </w:r>
      <m:oMath>
        <m:r>
          <m:rPr>
            <m:sty m:val="b"/>
          </m:rPr>
          <w:rPr>
            <w:rFonts w:ascii="Cambria Math" w:hAnsi="Cambria Math" w:cs="Times New Roman"/>
            <w:sz w:val="24"/>
            <w:szCs w:val="24"/>
            <w:lang w:val="en-GB"/>
          </w:rPr>
          <m:t>β</m:t>
        </m:r>
      </m:oMath>
      <w:r w:rsidRPr="007D2E18">
        <w:rPr>
          <w:rFonts w:ascii="Times New Roman" w:hAnsi="Times New Roman" w:cs="Times New Roman"/>
          <w:sz w:val="24"/>
          <w:szCs w:val="24"/>
          <w:lang w:val="en-GB"/>
        </w:rPr>
        <w:t xml:space="preserve"> is the vector of parameters of equation (1)):</w:t>
      </w:r>
    </w:p>
    <w:p w14:paraId="7FCA9648" w14:textId="77777777" w:rsidR="0085000C" w:rsidRPr="007D2E18" w:rsidRDefault="0085000C" w:rsidP="00A456AE">
      <w:pPr>
        <w:spacing w:after="0" w:line="240" w:lineRule="auto"/>
        <w:jc w:val="both"/>
        <w:rPr>
          <w:rFonts w:ascii="Times New Roman" w:hAnsi="Times New Roman" w:cs="Times New Roman"/>
          <w:sz w:val="24"/>
          <w:szCs w:val="24"/>
          <w:lang w:val="en-GB"/>
        </w:rPr>
      </w:pPr>
    </w:p>
    <w:p w14:paraId="62B4083C" w14:textId="5B4B2F78" w:rsidR="00CE6C72" w:rsidRPr="007D2E18" w:rsidRDefault="000C0297" w:rsidP="00CE6C72">
      <w:pPr>
        <w:spacing w:after="0" w:line="240" w:lineRule="auto"/>
        <w:jc w:val="both"/>
        <w:rPr>
          <w:rFonts w:ascii="Times New Roman" w:hAnsi="Times New Roman" w:cs="Times New Roman"/>
          <w:sz w:val="24"/>
          <w:szCs w:val="24"/>
          <w:lang w:val="en-GB"/>
        </w:rPr>
      </w:pP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t</m:t>
            </m:r>
          </m:sub>
        </m:sSub>
        <m:r>
          <w:rPr>
            <w:rFonts w:ascii="Cambria Math" w:hAnsi="Cambria Math" w:cs="Times New Roman"/>
            <w:sz w:val="24"/>
            <w:szCs w:val="24"/>
            <w:lang w:val="en-GB"/>
          </w:rPr>
          <m:t>=</m:t>
        </m:r>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ε</m:t>
            </m:r>
          </m:e>
        </m:acc>
        <m:r>
          <w:rPr>
            <w:rFonts w:ascii="Cambria Math" w:hAnsi="Cambria Math" w:cs="Times New Roman"/>
            <w:sz w:val="24"/>
            <w:szCs w:val="24"/>
            <w:lang w:val="en-GB"/>
          </w:rPr>
          <m:t>+</m:t>
        </m:r>
        <m:sSubSup>
          <m:sSubSupPr>
            <m:ctrlPr>
              <w:rPr>
                <w:rFonts w:ascii="Cambria Math" w:hAnsi="Cambria Math" w:cs="Times New Roman"/>
                <w:i/>
                <w:sz w:val="24"/>
                <w:szCs w:val="24"/>
                <w:lang w:val="en-GB"/>
              </w:rPr>
            </m:ctrlPr>
          </m:sSubSupPr>
          <m:e>
            <m:r>
              <m:rPr>
                <m:sty m:val="b"/>
              </m:rPr>
              <w:rPr>
                <w:rFonts w:ascii="Cambria Math" w:hAnsi="Cambria Math" w:cs="Times New Roman"/>
                <w:sz w:val="24"/>
                <w:szCs w:val="24"/>
                <w:lang w:val="en-GB"/>
              </w:rPr>
              <m:t>X</m:t>
            </m:r>
          </m:e>
          <m:sub>
            <m:r>
              <w:rPr>
                <w:rFonts w:ascii="Cambria Math" w:hAnsi="Cambria Math" w:cs="Times New Roman"/>
                <w:sz w:val="24"/>
                <w:szCs w:val="24"/>
                <w:lang w:val="en-GB"/>
              </w:rPr>
              <m:t>t</m:t>
            </m:r>
          </m:sub>
          <m:sup>
            <m:r>
              <w:rPr>
                <w:rFonts w:ascii="Cambria Math" w:hAnsi="Cambria Math" w:cs="Times New Roman"/>
                <w:sz w:val="24"/>
                <w:szCs w:val="24"/>
                <w:lang w:val="en-GB"/>
              </w:rPr>
              <m:t>'</m:t>
            </m:r>
          </m:sup>
        </m:sSubSup>
        <m:r>
          <m:rPr>
            <m:sty m:val="b"/>
          </m:rPr>
          <w:rPr>
            <w:rFonts w:ascii="Cambria Math" w:eastAsiaTheme="minorEastAsia" w:hAnsi="Cambria Math" w:cs="Times New Roman"/>
            <w:sz w:val="24"/>
            <w:szCs w:val="24"/>
            <w:lang w:val="en-GB"/>
          </w:rPr>
          <m:t>β</m:t>
        </m:r>
        <m:r>
          <w:rPr>
            <w:rFonts w:ascii="Cambria Math" w:eastAsiaTheme="minorEastAsia"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ρ</m:t>
            </m:r>
          </m:e>
          <m:sub>
            <m:r>
              <w:rPr>
                <w:rFonts w:ascii="Cambria Math" w:hAnsi="Cambria Math" w:cs="Times New Roman"/>
                <w:sz w:val="24"/>
                <w:szCs w:val="24"/>
                <w:lang w:val="en-GB"/>
              </w:rPr>
              <m:t>1</m:t>
            </m:r>
          </m:sub>
        </m:sSub>
        <m:sSub>
          <m:sSubPr>
            <m:ctrlPr>
              <w:rPr>
                <w:rFonts w:ascii="Cambria Math" w:hAnsi="Cambria Math" w:cs="Times New Roman"/>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t-1</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ρ</m:t>
            </m:r>
          </m:e>
          <m:sub>
            <m:r>
              <w:rPr>
                <w:rFonts w:ascii="Cambria Math" w:hAnsi="Cambria Math" w:cs="Times New Roman"/>
                <w:sz w:val="24"/>
                <w:szCs w:val="24"/>
                <w:lang w:val="en-GB"/>
              </w:rPr>
              <m:t>p</m:t>
            </m:r>
          </m:sub>
        </m:sSub>
        <m:sSub>
          <m:sSubPr>
            <m:ctrlPr>
              <w:rPr>
                <w:rFonts w:ascii="Cambria Math" w:hAnsi="Cambria Math" w:cs="Times New Roman"/>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t-p</m:t>
            </m:r>
          </m:sub>
        </m:sSub>
        <m:r>
          <w:rPr>
            <w:rFonts w:ascii="Cambria Math" w:hAnsi="Cambria Math" w:cs="Times New Roman"/>
            <w:sz w:val="24"/>
            <w:szCs w:val="24"/>
            <w:lang w:val="en-GB"/>
          </w:rPr>
          <m:t>+</m:t>
        </m:r>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ν</m:t>
            </m:r>
          </m:e>
          <m:sub>
            <m:r>
              <w:rPr>
                <w:rFonts w:ascii="Cambria Math" w:hAnsi="Cambria Math" w:cs="Times New Roman"/>
                <w:sz w:val="24"/>
                <w:szCs w:val="24"/>
                <w:lang w:val="en-GB"/>
              </w:rPr>
              <m:t>t</m:t>
            </m:r>
          </m:sub>
        </m:sSub>
        <m:r>
          <w:rPr>
            <w:rFonts w:ascii="Cambria Math" w:hAnsi="Cambria Math" w:cs="Times New Roman"/>
            <w:sz w:val="24"/>
            <w:szCs w:val="24"/>
            <w:lang w:val="en-GB"/>
          </w:rPr>
          <m:t>,</m:t>
        </m:r>
      </m:oMath>
      <w:r w:rsidR="00CE6C72" w:rsidRPr="007D2E18">
        <w:rPr>
          <w:rFonts w:ascii="Times New Roman" w:eastAsiaTheme="minorEastAsia" w:hAnsi="Times New Roman" w:cs="Times New Roman"/>
          <w:sz w:val="24"/>
          <w:szCs w:val="24"/>
          <w:lang w:val="en-GB"/>
        </w:rPr>
        <w:tab/>
      </w:r>
      <w:r w:rsidR="00CE6C72" w:rsidRPr="007D2E18">
        <w:rPr>
          <w:rFonts w:ascii="Times New Roman" w:eastAsiaTheme="minorEastAsia" w:hAnsi="Times New Roman" w:cs="Times New Roman"/>
          <w:sz w:val="24"/>
          <w:szCs w:val="24"/>
          <w:lang w:val="en-GB"/>
        </w:rPr>
        <w:tab/>
        <w:t>(2)</w:t>
      </w:r>
    </w:p>
    <w:p w14:paraId="2CBD83DE" w14:textId="77777777" w:rsidR="00CE6C72" w:rsidRPr="007D2E18" w:rsidRDefault="00CE6C72" w:rsidP="00A456AE">
      <w:pPr>
        <w:spacing w:after="0" w:line="240" w:lineRule="auto"/>
        <w:jc w:val="both"/>
        <w:rPr>
          <w:rFonts w:ascii="Times New Roman" w:hAnsi="Times New Roman" w:cs="Times New Roman"/>
          <w:sz w:val="24"/>
          <w:szCs w:val="24"/>
          <w:lang w:val="en-GB"/>
        </w:rPr>
      </w:pPr>
    </w:p>
    <w:p w14:paraId="39A7768D" w14:textId="67F6EE44" w:rsidR="0085000C"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where </w:t>
      </w: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ν</m:t>
            </m:r>
          </m:e>
          <m:sub>
            <m:r>
              <w:rPr>
                <w:rFonts w:ascii="Cambria Math" w:hAnsi="Cambria Math" w:cs="Times New Roman"/>
                <w:sz w:val="24"/>
                <w:szCs w:val="24"/>
                <w:lang w:val="en-GB"/>
              </w:rPr>
              <m:t>t</m:t>
            </m:r>
          </m:sub>
        </m:sSub>
      </m:oMath>
      <w:r w:rsidRPr="007D2E18">
        <w:rPr>
          <w:rFonts w:ascii="Times New Roman" w:hAnsi="Times New Roman" w:cs="Times New Roman"/>
          <w:sz w:val="24"/>
          <w:szCs w:val="24"/>
          <w:lang w:val="en-GB"/>
        </w:rPr>
        <w:t xml:space="preserve"> is a white noise residual. The Breusch-Godfrey null hypothesis to be tested is that </w:t>
      </w:r>
      <m:oMath>
        <m:r>
          <w:rPr>
            <w:rFonts w:ascii="Cambria Math" w:hAnsi="Cambria Math" w:cs="Times New Roman"/>
            <w:sz w:val="24"/>
            <w:szCs w:val="24"/>
            <w:lang w:val="en-GB"/>
          </w:rPr>
          <m:t>NH:</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ρ</m:t>
            </m:r>
          </m:e>
          <m:sub>
            <m:r>
              <w:rPr>
                <w:rFonts w:ascii="Cambria Math" w:hAnsi="Cambria Math" w:cs="Times New Roman"/>
                <w:sz w:val="24"/>
                <w:szCs w:val="24"/>
                <w:lang w:val="en-GB"/>
              </w:rPr>
              <m:t>1</m:t>
            </m:r>
          </m:sub>
        </m:sSub>
        <m:r>
          <w:rPr>
            <w:rFonts w:ascii="Cambria Math" w:hAnsi="Cambria Math" w:cs="Times New Roman"/>
            <w:sz w:val="24"/>
            <w:szCs w:val="24"/>
            <w:lang w:val="en-GB"/>
          </w:rPr>
          <m:t>=</m:t>
        </m:r>
        <m:r>
          <w:rPr>
            <w:rFonts w:ascii="Cambria Math" w:eastAsiaTheme="minorEastAsia"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ρ</m:t>
            </m:r>
          </m:e>
          <m:sub>
            <m:r>
              <w:rPr>
                <w:rFonts w:ascii="Cambria Math" w:hAnsi="Cambria Math" w:cs="Times New Roman"/>
                <w:sz w:val="24"/>
                <w:szCs w:val="24"/>
                <w:lang w:val="en-GB"/>
              </w:rPr>
              <m:t>p</m:t>
            </m:r>
          </m:sub>
        </m:sSub>
        <m:r>
          <w:rPr>
            <w:rFonts w:ascii="Cambria Math" w:hAnsi="Cambria Math" w:cs="Times New Roman"/>
            <w:sz w:val="24"/>
            <w:szCs w:val="24"/>
            <w:lang w:val="en-GB"/>
          </w:rPr>
          <m:t>=0</m:t>
        </m:r>
      </m:oMath>
      <w:r w:rsidRPr="007D2E18">
        <w:rPr>
          <w:rFonts w:ascii="Times New Roman" w:hAnsi="Times New Roman" w:cs="Times New Roman"/>
          <w:sz w:val="24"/>
          <w:szCs w:val="24"/>
          <w:lang w:val="en-GB"/>
        </w:rPr>
        <w:t xml:space="preserve">, that is, there is no serial correlation up to order </w:t>
      </w:r>
      <m:oMath>
        <m:r>
          <w:rPr>
            <w:rFonts w:ascii="Cambria Math" w:hAnsi="Cambria Math" w:cs="Times New Roman"/>
            <w:sz w:val="24"/>
            <w:szCs w:val="24"/>
            <w:lang w:val="en-GB"/>
          </w:rPr>
          <m:t>p</m:t>
        </m:r>
      </m:oMath>
      <w:r w:rsidRPr="007D2E18">
        <w:rPr>
          <w:rFonts w:ascii="Times New Roman" w:hAnsi="Times New Roman" w:cs="Times New Roman"/>
          <w:sz w:val="24"/>
          <w:szCs w:val="24"/>
          <w:lang w:val="en-GB"/>
        </w:rPr>
        <w:t xml:space="preserve">. We perform the test by setting this </w:t>
      </w:r>
      <m:oMath>
        <m:r>
          <w:rPr>
            <w:rFonts w:ascii="Cambria Math" w:hAnsi="Cambria Math" w:cs="Times New Roman"/>
            <w:sz w:val="24"/>
            <w:szCs w:val="24"/>
            <w:lang w:val="en-GB"/>
          </w:rPr>
          <m:t>p</m:t>
        </m:r>
      </m:oMath>
      <w:r w:rsidRPr="007D2E18">
        <w:rPr>
          <w:rFonts w:ascii="Times New Roman" w:hAnsi="Times New Roman" w:cs="Times New Roman"/>
          <w:sz w:val="24"/>
          <w:szCs w:val="24"/>
          <w:lang w:val="en-GB"/>
        </w:rPr>
        <w:t xml:space="preserve">-order up </w:t>
      </w:r>
      <w:r w:rsidRPr="007D2E18">
        <w:rPr>
          <w:rFonts w:ascii="Times New Roman" w:hAnsi="Times New Roman" w:cs="Times New Roman"/>
          <w:sz w:val="24"/>
          <w:szCs w:val="24"/>
          <w:lang w:val="en-GB"/>
        </w:rPr>
        <w:lastRenderedPageBreak/>
        <w:t xml:space="preserve">to six lags. Breusch and Godfrey have shown that </w:t>
      </w:r>
      <m:oMath>
        <m:r>
          <w:rPr>
            <w:rFonts w:ascii="Cambria Math" w:hAnsi="Cambria Math" w:cs="Times New Roman"/>
            <w:sz w:val="24"/>
            <w:szCs w:val="24"/>
            <w:lang w:val="en-GB"/>
          </w:rPr>
          <m:t>(T-p)</m:t>
        </m:r>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R</m:t>
            </m:r>
          </m:e>
          <m:sub>
            <m:r>
              <w:rPr>
                <w:rFonts w:ascii="Cambria Math" w:hAnsi="Cambria Math" w:cs="Times New Roman"/>
                <w:sz w:val="24"/>
                <w:szCs w:val="24"/>
                <w:lang w:val="en-GB"/>
              </w:rPr>
              <m:t>ε</m:t>
            </m:r>
          </m:sub>
          <m:sup>
            <m:r>
              <w:rPr>
                <w:rFonts w:ascii="Cambria Math" w:hAnsi="Cambria Math" w:cs="Times New Roman"/>
                <w:sz w:val="24"/>
                <w:szCs w:val="24"/>
                <w:lang w:val="en-GB"/>
              </w:rPr>
              <m:t>2</m:t>
            </m:r>
          </m:sup>
        </m:sSubSup>
      </m:oMath>
      <w:r w:rsidRPr="007D2E18">
        <w:rPr>
          <w:rFonts w:ascii="Times New Roman" w:hAnsi="Times New Roman" w:cs="Times New Roman"/>
          <w:sz w:val="24"/>
          <w:szCs w:val="24"/>
          <w:lang w:val="en-GB"/>
        </w:rPr>
        <w:t xml:space="preserve"> is chi-squared distributed with </w:t>
      </w:r>
      <m:oMath>
        <m:r>
          <w:rPr>
            <w:rFonts w:ascii="Cambria Math" w:hAnsi="Cambria Math" w:cs="Times New Roman"/>
            <w:sz w:val="24"/>
            <w:szCs w:val="24"/>
            <w:lang w:val="en-GB"/>
          </w:rPr>
          <m:t>p</m:t>
        </m:r>
      </m:oMath>
      <w:r w:rsidRPr="007D2E18">
        <w:rPr>
          <w:rFonts w:ascii="Times New Roman" w:hAnsi="Times New Roman" w:cs="Times New Roman"/>
          <w:sz w:val="24"/>
          <w:szCs w:val="24"/>
          <w:lang w:val="en-GB"/>
        </w:rPr>
        <w:t xml:space="preserve"> degrees of freedom, where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R</m:t>
            </m:r>
          </m:e>
          <m:sub>
            <m:r>
              <w:rPr>
                <w:rFonts w:ascii="Cambria Math" w:hAnsi="Cambria Math" w:cs="Times New Roman"/>
                <w:sz w:val="24"/>
                <w:szCs w:val="24"/>
                <w:lang w:val="en-GB"/>
              </w:rPr>
              <m:t>ε</m:t>
            </m:r>
          </m:sub>
          <m:sup>
            <m:r>
              <w:rPr>
                <w:rFonts w:ascii="Cambria Math" w:hAnsi="Cambria Math" w:cs="Times New Roman"/>
                <w:sz w:val="24"/>
                <w:szCs w:val="24"/>
                <w:lang w:val="en-GB"/>
              </w:rPr>
              <m:t>2</m:t>
            </m:r>
          </m:sup>
        </m:sSubSup>
      </m:oMath>
      <w:r w:rsidRPr="007D2E18">
        <w:rPr>
          <w:rFonts w:ascii="Times New Roman" w:hAnsi="Times New Roman" w:cs="Times New Roman"/>
          <w:sz w:val="24"/>
          <w:szCs w:val="24"/>
          <w:lang w:val="en-GB"/>
        </w:rPr>
        <w:t xml:space="preserve"> is the goodness-of-fit coefficient of equation (2). Thus, if the </w:t>
      </w:r>
      <m:oMath>
        <m:r>
          <w:rPr>
            <w:rFonts w:ascii="Cambria Math" w:hAnsi="Cambria Math" w:cs="Times New Roman"/>
            <w:sz w:val="24"/>
            <w:szCs w:val="24"/>
            <w:lang w:val="en-GB"/>
          </w:rPr>
          <m:t>p</m:t>
        </m:r>
      </m:oMath>
      <w:r w:rsidRPr="007D2E18">
        <w:rPr>
          <w:rFonts w:ascii="Times New Roman" w:hAnsi="Times New Roman" w:cs="Times New Roman"/>
          <w:sz w:val="24"/>
          <w:szCs w:val="24"/>
          <w:lang w:val="en-GB"/>
        </w:rPr>
        <w:t xml:space="preserve">-value exceeds a chosen level of significance, we do not reject the null hypothesis, meaning that all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ρ</m:t>
            </m:r>
          </m:e>
          <m:sub>
            <m:r>
              <w:rPr>
                <w:rFonts w:ascii="Cambria Math" w:hAnsi="Cambria Math" w:cs="Times New Roman"/>
                <w:sz w:val="24"/>
                <w:szCs w:val="24"/>
                <w:lang w:val="en-GB"/>
              </w:rPr>
              <m:t>1</m:t>
            </m:r>
          </m:sub>
        </m:sSub>
        <m:r>
          <w:rPr>
            <w:rFonts w:ascii="Cambria Math" w:hAnsi="Cambria Math" w:cs="Times New Roman"/>
            <w:sz w:val="24"/>
            <w:szCs w:val="24"/>
            <w:lang w:val="en-GB"/>
          </w:rPr>
          <m:t>=</m:t>
        </m:r>
        <m:r>
          <w:rPr>
            <w:rFonts w:ascii="Cambria Math" w:eastAsiaTheme="minorEastAsia"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ρ</m:t>
            </m:r>
          </m:e>
          <m:sub>
            <m:r>
              <w:rPr>
                <w:rFonts w:ascii="Cambria Math" w:hAnsi="Cambria Math" w:cs="Times New Roman"/>
                <w:sz w:val="24"/>
                <w:szCs w:val="24"/>
                <w:lang w:val="en-GB"/>
              </w:rPr>
              <m:t>p</m:t>
            </m:r>
          </m:sub>
        </m:sSub>
      </m:oMath>
      <w:r w:rsidRPr="007D2E18">
        <w:rPr>
          <w:rFonts w:ascii="Times New Roman" w:hAnsi="Times New Roman" w:cs="Times New Roman"/>
          <w:sz w:val="24"/>
          <w:szCs w:val="24"/>
          <w:lang w:val="en-GB"/>
        </w:rPr>
        <w:t xml:space="preserve"> coefficients are zero, and no evidence of serial correlation is found.</w:t>
      </w:r>
    </w:p>
    <w:p w14:paraId="687BE280" w14:textId="77777777" w:rsidR="0085000C" w:rsidRPr="007D2E18" w:rsidRDefault="0085000C" w:rsidP="00A456AE">
      <w:pPr>
        <w:spacing w:after="0" w:line="240" w:lineRule="auto"/>
        <w:jc w:val="both"/>
        <w:rPr>
          <w:rFonts w:ascii="Times New Roman" w:hAnsi="Times New Roman" w:cs="Times New Roman"/>
          <w:sz w:val="24"/>
          <w:szCs w:val="24"/>
          <w:lang w:val="en-GB"/>
        </w:rPr>
      </w:pPr>
    </w:p>
    <w:p w14:paraId="73AD3C30" w14:textId="24DA04CC" w:rsidR="0085000C" w:rsidRPr="007D2E18" w:rsidRDefault="00A82EF1" w:rsidP="00A456AE">
      <w:pPr>
        <w:spacing w:after="0" w:line="240" w:lineRule="auto"/>
        <w:jc w:val="both"/>
        <w:rPr>
          <w:rFonts w:ascii="Times New Roman" w:hAnsi="Times New Roman" w:cs="Times New Roman"/>
          <w:b/>
          <w:bCs/>
          <w:sz w:val="24"/>
          <w:szCs w:val="24"/>
          <w:lang w:val="en-GB"/>
        </w:rPr>
      </w:pPr>
      <w:r w:rsidRPr="007D2E18">
        <w:rPr>
          <w:rFonts w:ascii="Times New Roman" w:hAnsi="Times New Roman" w:cs="Times New Roman"/>
          <w:b/>
          <w:bCs/>
          <w:sz w:val="24"/>
          <w:szCs w:val="24"/>
          <w:lang w:val="en-GB"/>
        </w:rPr>
        <w:t xml:space="preserve">3.2. </w:t>
      </w:r>
      <w:r w:rsidR="0085000C" w:rsidRPr="007D2E18">
        <w:rPr>
          <w:rFonts w:ascii="Times New Roman" w:hAnsi="Times New Roman" w:cs="Times New Roman"/>
          <w:b/>
          <w:bCs/>
          <w:sz w:val="24"/>
          <w:szCs w:val="24"/>
          <w:lang w:val="en-GB"/>
        </w:rPr>
        <w:t>Short-sample bias</w:t>
      </w:r>
    </w:p>
    <w:p w14:paraId="749BD8E2" w14:textId="77777777" w:rsidR="00A82EF1" w:rsidRPr="007D2E18" w:rsidRDefault="00A82EF1" w:rsidP="00A456AE">
      <w:pPr>
        <w:spacing w:after="0" w:line="240" w:lineRule="auto"/>
        <w:jc w:val="both"/>
        <w:rPr>
          <w:rFonts w:ascii="Times New Roman" w:hAnsi="Times New Roman" w:cs="Times New Roman"/>
          <w:sz w:val="24"/>
          <w:szCs w:val="24"/>
          <w:lang w:val="en-GB"/>
        </w:rPr>
      </w:pPr>
    </w:p>
    <w:p w14:paraId="1B83B6CA" w14:textId="77777777" w:rsidR="00A82EF1"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Our analysis relies essentially on econometric estimations considering our geopolitical tensions and news variable which is available from 2001.1 to 2012.3 (135 observations) in monthly frequency. This fact could imply a short-sample bias and could invalidate the statistical inference obtained from coefficient estimates, i.e. the F-tests. Moreover, despite that all series used in estimations are stationary (as we test in subsection 3.4), they show a high level of persistence. Thus, this poses the risk of autocorrelated residuals; invalidating the inference based on F-tests.</w:t>
      </w:r>
    </w:p>
    <w:p w14:paraId="7BB54F5A" w14:textId="77777777" w:rsidR="00A82EF1" w:rsidRPr="007D2E18" w:rsidRDefault="00A82EF1" w:rsidP="00A456AE">
      <w:pPr>
        <w:spacing w:after="0" w:line="240" w:lineRule="auto"/>
        <w:jc w:val="both"/>
        <w:rPr>
          <w:rFonts w:ascii="Times New Roman" w:hAnsi="Times New Roman" w:cs="Times New Roman"/>
          <w:sz w:val="24"/>
          <w:szCs w:val="24"/>
          <w:lang w:val="en-GB"/>
        </w:rPr>
      </w:pPr>
    </w:p>
    <w:p w14:paraId="42DD3692" w14:textId="272FC52E" w:rsidR="00A82EF1"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To alleviate these problems, we make use of the Newey and West (1987) standard deviation estimator, which accounts for both heteroskedasticity and serial correlation. By setting key parameters</w:t>
      </w:r>
      <w:r w:rsidR="00A82EF1"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that</w:t>
      </w:r>
      <w:r w:rsidR="00A82EF1" w:rsidRPr="007D2E18">
        <w:rPr>
          <w:rFonts w:ascii="Times New Roman" w:hAnsi="Times New Roman" w:cs="Times New Roman"/>
          <w:sz w:val="24"/>
          <w:szCs w:val="24"/>
          <w:lang w:val="en-GB"/>
        </w:rPr>
        <w:t xml:space="preserve"> </w:t>
      </w:r>
      <w:r w:rsidRPr="007D2E18">
        <w:rPr>
          <w:rFonts w:ascii="Times New Roman" w:hAnsi="Times New Roman" w:cs="Times New Roman"/>
          <w:sz w:val="24"/>
          <w:szCs w:val="24"/>
          <w:lang w:val="en-GB"/>
        </w:rPr>
        <w:t>will be shown below</w:t>
      </w:r>
      <w:r w:rsidR="00A82EF1"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 we will be able to use the Newey-West estimator to alleviate short-sample bias too. This is because the estimator corrects the off-diagonal elements of coefficients</w:t>
      </w:r>
      <w:r w:rsidR="00A82EF1"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 xml:space="preserve"> variance(-covariance) matrix as well as heteroskedasticity. Thus, this correction goes beyond the case where the variance matrix Ω is different from </w:t>
      </w:r>
      <m:oMath>
        <m:sSup>
          <m:sSupPr>
            <m:ctrlPr>
              <w:rPr>
                <w:rFonts w:ascii="Cambria Math" w:hAnsi="Cambria Math" w:cs="Times New Roman"/>
                <w:i/>
                <w:sz w:val="24"/>
                <w:szCs w:val="24"/>
                <w:lang w:val="en-GB"/>
              </w:rPr>
            </m:ctrlPr>
          </m:sSupPr>
          <m:e>
            <m:r>
              <w:rPr>
                <w:rFonts w:ascii="Cambria Math" w:hAnsi="Cambria Math" w:cs="Times New Roman"/>
                <w:sz w:val="24"/>
                <w:szCs w:val="24"/>
                <w:lang w:val="en-GB"/>
              </w:rPr>
              <m:t>σ</m:t>
            </m:r>
          </m:e>
          <m:sup>
            <m:r>
              <w:rPr>
                <w:rFonts w:ascii="Cambria Math" w:hAnsi="Cambria Math" w:cs="Times New Roman"/>
                <w:sz w:val="24"/>
                <w:szCs w:val="24"/>
                <w:lang w:val="en-GB"/>
              </w:rPr>
              <m:t>2</m:t>
            </m:r>
          </m:sup>
        </m:sSup>
        <m:r>
          <m:rPr>
            <m:sty m:val="b"/>
          </m:rPr>
          <w:rPr>
            <w:rFonts w:ascii="Cambria Math" w:hAnsi="Cambria Math" w:cs="Times New Roman"/>
            <w:sz w:val="24"/>
            <w:szCs w:val="24"/>
            <w:lang w:val="en-GB"/>
          </w:rPr>
          <m:t>I</m:t>
        </m:r>
      </m:oMath>
      <w:r w:rsidRPr="007D2E18">
        <w:rPr>
          <w:rFonts w:ascii="Times New Roman" w:hAnsi="Times New Roman" w:cs="Times New Roman"/>
          <w:sz w:val="24"/>
          <w:szCs w:val="24"/>
          <w:lang w:val="en-GB"/>
        </w:rPr>
        <w:t>. The estimator consists in an extension to White (1980)</w:t>
      </w:r>
      <w:r w:rsidR="00A82EF1"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s variance estimator when the problem is heteroskedasticity of a general unknown form.</w:t>
      </w:r>
    </w:p>
    <w:p w14:paraId="38FB4127" w14:textId="77777777" w:rsidR="00A82EF1" w:rsidRPr="007D2E18" w:rsidRDefault="00A82EF1" w:rsidP="00A456AE">
      <w:pPr>
        <w:spacing w:after="0" w:line="240" w:lineRule="auto"/>
        <w:jc w:val="both"/>
        <w:rPr>
          <w:rFonts w:ascii="Times New Roman" w:hAnsi="Times New Roman" w:cs="Times New Roman"/>
          <w:sz w:val="24"/>
          <w:szCs w:val="24"/>
          <w:lang w:val="en-GB"/>
        </w:rPr>
      </w:pPr>
    </w:p>
    <w:p w14:paraId="346CDF66" w14:textId="3B835907" w:rsidR="0085000C"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The baseline ordinary least squares variance matrix corresponds to:</w:t>
      </w:r>
    </w:p>
    <w:p w14:paraId="4FC324EB" w14:textId="2FE817B2" w:rsidR="0085000C" w:rsidRPr="007D2E18" w:rsidRDefault="0085000C" w:rsidP="00A456AE">
      <w:pPr>
        <w:spacing w:after="0" w:line="240" w:lineRule="auto"/>
        <w:jc w:val="both"/>
        <w:rPr>
          <w:rFonts w:ascii="Times New Roman" w:hAnsi="Times New Roman" w:cs="Times New Roman"/>
          <w:sz w:val="24"/>
          <w:szCs w:val="24"/>
          <w:lang w:val="en-GB"/>
        </w:rPr>
      </w:pPr>
    </w:p>
    <w:p w14:paraId="76A4BA91" w14:textId="0C198A92" w:rsidR="00A82EF1" w:rsidRPr="007D2E18" w:rsidRDefault="00A82EF1" w:rsidP="00A82EF1">
      <w:pPr>
        <w:spacing w:after="0" w:line="240" w:lineRule="auto"/>
        <w:jc w:val="both"/>
        <w:rPr>
          <w:rFonts w:ascii="Times New Roman" w:hAnsi="Times New Roman" w:cs="Times New Roman"/>
          <w:sz w:val="24"/>
          <w:szCs w:val="24"/>
          <w:lang w:val="en-GB"/>
        </w:rPr>
      </w:pPr>
      <m:oMath>
        <m:r>
          <m:rPr>
            <m:scr m:val="double-struck"/>
            <m:sty m:val="p"/>
          </m:rPr>
          <w:rPr>
            <w:rFonts w:ascii="Cambria Math" w:hAnsi="Cambria Math" w:cs="Times New Roman"/>
            <w:sz w:val="24"/>
            <w:szCs w:val="24"/>
            <w:lang w:val="en-GB"/>
          </w:rPr>
          <m:t>E</m:t>
        </m:r>
        <m:d>
          <m:dPr>
            <m:begChr m:val="["/>
            <m:endChr m:val="]"/>
            <m:ctrlPr>
              <w:rPr>
                <w:rFonts w:ascii="Cambria Math" w:hAnsi="Cambria Math" w:cs="Times New Roman"/>
                <w:iCs/>
                <w:sz w:val="24"/>
                <w:szCs w:val="24"/>
                <w:lang w:val="en-GB"/>
              </w:rPr>
            </m:ctrlPr>
          </m:dPr>
          <m:e>
            <m:r>
              <m:rPr>
                <m:sty m:val="b"/>
              </m:rPr>
              <w:rPr>
                <w:rFonts w:ascii="Cambria Math" w:hAnsi="Cambria Math" w:cs="Times New Roman"/>
                <w:sz w:val="24"/>
                <w:szCs w:val="24"/>
                <w:lang w:val="en-GB"/>
              </w:rPr>
              <m:t>X'εε'X</m:t>
            </m:r>
            <m:r>
              <w:rPr>
                <w:rFonts w:ascii="Cambria Math" w:hAnsi="Cambria Math" w:cs="Times New Roman"/>
                <w:sz w:val="24"/>
                <w:szCs w:val="24"/>
                <w:lang w:val="en-GB"/>
              </w:rPr>
              <m:t>|</m:t>
            </m:r>
            <m:r>
              <m:rPr>
                <m:sty m:val="b"/>
              </m:rPr>
              <w:rPr>
                <w:rFonts w:ascii="Cambria Math" w:hAnsi="Cambria Math" w:cs="Times New Roman"/>
                <w:sz w:val="24"/>
                <w:szCs w:val="24"/>
                <w:lang w:val="en-GB"/>
              </w:rPr>
              <m:t>X</m:t>
            </m:r>
          </m:e>
        </m:d>
        <m:r>
          <w:rPr>
            <w:rFonts w:ascii="Cambria Math" w:hAnsi="Cambria Math" w:cs="Times New Roman"/>
            <w:sz w:val="24"/>
            <w:szCs w:val="24"/>
            <w:lang w:val="en-GB"/>
          </w:rPr>
          <m:t>=</m:t>
        </m:r>
        <m:r>
          <m:rPr>
            <m:sty m:val="b"/>
          </m:rPr>
          <w:rPr>
            <w:rFonts w:ascii="Cambria Math" w:hAnsi="Cambria Math" w:cs="Times New Roman"/>
            <w:sz w:val="24"/>
            <w:szCs w:val="24"/>
            <w:lang w:val="en-GB"/>
          </w:rPr>
          <m:t>X'ΩX</m:t>
        </m:r>
        <m:r>
          <w:rPr>
            <w:rFonts w:ascii="Cambria Math" w:hAnsi="Cambria Math" w:cs="Times New Roman"/>
            <w:sz w:val="24"/>
            <w:szCs w:val="24"/>
            <w:lang w:val="en-GB"/>
          </w:rPr>
          <m:t>,</m:t>
        </m:r>
      </m:oMath>
      <w:r w:rsidRPr="007D2E18">
        <w:rPr>
          <w:rFonts w:ascii="Times New Roman" w:eastAsiaTheme="minorEastAsia" w:hAnsi="Times New Roman" w:cs="Times New Roman"/>
          <w:sz w:val="24"/>
          <w:szCs w:val="24"/>
          <w:lang w:val="en-GB"/>
        </w:rPr>
        <w:tab/>
      </w:r>
      <w:r w:rsidRPr="007D2E18">
        <w:rPr>
          <w:rFonts w:ascii="Times New Roman" w:eastAsiaTheme="minorEastAsia" w:hAnsi="Times New Roman" w:cs="Times New Roman"/>
          <w:sz w:val="24"/>
          <w:szCs w:val="24"/>
          <w:lang w:val="en-GB"/>
        </w:rPr>
        <w:tab/>
        <w:t>(3)</w:t>
      </w:r>
    </w:p>
    <w:p w14:paraId="4E1FAACB" w14:textId="77777777" w:rsidR="00A82EF1" w:rsidRPr="007D2E18" w:rsidRDefault="00A82EF1" w:rsidP="00A456AE">
      <w:pPr>
        <w:spacing w:after="0" w:line="240" w:lineRule="auto"/>
        <w:jc w:val="both"/>
        <w:rPr>
          <w:rFonts w:ascii="Times New Roman" w:hAnsi="Times New Roman" w:cs="Times New Roman"/>
          <w:sz w:val="24"/>
          <w:szCs w:val="24"/>
          <w:lang w:val="en-GB"/>
        </w:rPr>
      </w:pPr>
    </w:p>
    <w:p w14:paraId="2776CE70" w14:textId="33C8A6EE" w:rsidR="0085000C"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with </w:t>
      </w:r>
      <m:oMath>
        <m:r>
          <m:rPr>
            <m:sty m:val="b"/>
          </m:rPr>
          <w:rPr>
            <w:rFonts w:ascii="Cambria Math" w:hAnsi="Cambria Math" w:cs="Times New Roman"/>
            <w:sz w:val="24"/>
            <w:szCs w:val="24"/>
            <w:lang w:val="en-GB"/>
          </w:rPr>
          <m:t>Ω</m:t>
        </m:r>
      </m:oMath>
      <w:r w:rsidRPr="007D2E18">
        <w:rPr>
          <w:rFonts w:ascii="Times New Roman" w:hAnsi="Times New Roman" w:cs="Times New Roman"/>
          <w:sz w:val="24"/>
          <w:szCs w:val="24"/>
          <w:lang w:val="en-GB"/>
        </w:rPr>
        <w:t xml:space="preserve"> being of unknown form. To materialise how the Newey-West estimator operates, consider the case of </w:t>
      </w:r>
      <m:oMath>
        <m:r>
          <w:rPr>
            <w:rFonts w:ascii="Cambria Math" w:hAnsi="Cambria Math" w:cs="Times New Roman"/>
            <w:sz w:val="24"/>
            <w:szCs w:val="24"/>
            <w:lang w:val="en-GB"/>
          </w:rPr>
          <m:t>T</m:t>
        </m:r>
        <m:r>
          <w:rPr>
            <w:rFonts w:ascii="Cambria Math" w:eastAsiaTheme="minorEastAsia" w:hAnsi="Cambria Math" w:cs="Times New Roman"/>
            <w:sz w:val="24"/>
            <w:szCs w:val="24"/>
            <w:lang w:val="en-GB"/>
          </w:rPr>
          <m:t>=4</m:t>
        </m:r>
      </m:oMath>
      <w:r w:rsidRPr="007D2E18">
        <w:rPr>
          <w:rFonts w:ascii="Times New Roman" w:hAnsi="Times New Roman" w:cs="Times New Roman"/>
          <w:sz w:val="24"/>
          <w:szCs w:val="24"/>
          <w:lang w:val="en-GB"/>
        </w:rPr>
        <w:t xml:space="preserve"> and </w:t>
      </w:r>
      <m:oMath>
        <m:r>
          <w:rPr>
            <w:rFonts w:ascii="Cambria Math" w:hAnsi="Cambria Math" w:cs="Times New Roman"/>
            <w:sz w:val="24"/>
            <w:szCs w:val="24"/>
            <w:lang w:val="en-GB"/>
          </w:rPr>
          <m:t>k=3</m:t>
        </m:r>
      </m:oMath>
      <w:r w:rsidRPr="007D2E18">
        <w:rPr>
          <w:rFonts w:ascii="Times New Roman" w:hAnsi="Times New Roman" w:cs="Times New Roman"/>
          <w:sz w:val="24"/>
          <w:szCs w:val="24"/>
          <w:lang w:val="en-GB"/>
        </w:rPr>
        <w:t xml:space="preserve"> (a constant plus two variables). In this case, we have that:</w:t>
      </w:r>
    </w:p>
    <w:p w14:paraId="13DA71DC" w14:textId="77777777" w:rsidR="0085000C" w:rsidRPr="007D2E18" w:rsidRDefault="0085000C" w:rsidP="00A456AE">
      <w:pPr>
        <w:spacing w:after="0" w:line="240" w:lineRule="auto"/>
        <w:jc w:val="both"/>
        <w:rPr>
          <w:rFonts w:ascii="Times New Roman" w:hAnsi="Times New Roman" w:cs="Times New Roman"/>
          <w:sz w:val="24"/>
          <w:szCs w:val="24"/>
          <w:lang w:val="en-GB"/>
        </w:rPr>
      </w:pPr>
    </w:p>
    <w:p w14:paraId="70970999" w14:textId="48A483BD" w:rsidR="0085000C" w:rsidRPr="007D2E18" w:rsidRDefault="00F03178" w:rsidP="00A456AE">
      <w:pPr>
        <w:spacing w:after="0" w:line="240" w:lineRule="auto"/>
        <w:jc w:val="both"/>
        <w:rPr>
          <w:rFonts w:ascii="Times New Roman" w:hAnsi="Times New Roman" w:cs="Times New Roman"/>
          <w:sz w:val="24"/>
          <w:szCs w:val="24"/>
          <w:lang w:val="en-GB"/>
        </w:rPr>
      </w:pPr>
      <m:oMath>
        <m:r>
          <m:rPr>
            <m:sty m:val="b"/>
          </m:rPr>
          <w:rPr>
            <w:rFonts w:ascii="Cambria Math" w:hAnsi="Cambria Math" w:cs="Times New Roman"/>
            <w:sz w:val="24"/>
            <w:szCs w:val="24"/>
            <w:lang w:val="en-GB"/>
          </w:rPr>
          <m:t>X'ΩX=</m:t>
        </m:r>
        <m:d>
          <m:dPr>
            <m:begChr m:val="["/>
            <m:endChr m:val="]"/>
            <m:ctrlPr>
              <w:rPr>
                <w:rFonts w:ascii="Cambria Math" w:hAnsi="Cambria Math" w:cs="Times New Roman"/>
                <w:b/>
                <w:bCs/>
                <w:sz w:val="24"/>
                <w:szCs w:val="24"/>
                <w:lang w:val="en-GB"/>
              </w:rPr>
            </m:ctrlPr>
          </m:dPr>
          <m:e>
            <m:m>
              <m:mPr>
                <m:mcs>
                  <m:mc>
                    <m:mcPr>
                      <m:count m:val="2"/>
                      <m:mcJc m:val="center"/>
                    </m:mcPr>
                  </m:mc>
                </m:mcs>
                <m:ctrlPr>
                  <w:rPr>
                    <w:rFonts w:ascii="Cambria Math" w:hAnsi="Cambria Math" w:cs="Times New Roman"/>
                    <w:b/>
                    <w:bCs/>
                    <w:i/>
                    <w:sz w:val="24"/>
                    <w:szCs w:val="24"/>
                    <w:lang w:val="en-GB"/>
                  </w:rPr>
                </m:ctrlPr>
              </m:mPr>
              <m:mr>
                <m:e>
                  <m:m>
                    <m:mPr>
                      <m:mcs>
                        <m:mc>
                          <m:mcPr>
                            <m:count m:val="2"/>
                            <m:mcJc m:val="center"/>
                          </m:mcPr>
                        </m:mc>
                      </m:mcs>
                      <m:ctrlPr>
                        <w:rPr>
                          <w:rFonts w:ascii="Cambria Math" w:hAnsi="Cambria Math" w:cs="Times New Roman"/>
                          <w:b/>
                          <w:bCs/>
                          <w:i/>
                          <w:sz w:val="24"/>
                          <w:szCs w:val="24"/>
                          <w:lang w:val="en-GB"/>
                        </w:rPr>
                      </m:ctrlPr>
                    </m:mPr>
                    <m:mr>
                      <m:e>
                        <m:r>
                          <m:rPr>
                            <m:sty m:val="bi"/>
                          </m:rPr>
                          <w:rPr>
                            <w:rFonts w:ascii="Cambria Math" w:hAnsi="Cambria Math" w:cs="Times New Roman"/>
                            <w:sz w:val="24"/>
                            <w:szCs w:val="24"/>
                            <w:lang w:val="en-GB"/>
                          </w:rPr>
                          <m:t>1</m:t>
                        </m:r>
                      </m:e>
                      <m:e>
                        <m:r>
                          <m:rPr>
                            <m:sty m:val="bi"/>
                          </m:rPr>
                          <w:rPr>
                            <w:rFonts w:ascii="Cambria Math" w:hAnsi="Cambria Math" w:cs="Times New Roman"/>
                            <w:sz w:val="24"/>
                            <w:szCs w:val="24"/>
                            <w:lang w:val="en-GB"/>
                          </w:rPr>
                          <m:t>1</m:t>
                        </m:r>
                      </m:e>
                    </m:mr>
                    <m:m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12</m:t>
                            </m:r>
                          </m:sub>
                        </m:sSub>
                      </m:e>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22</m:t>
                            </m:r>
                          </m:sub>
                        </m:sSub>
                      </m:e>
                    </m:mr>
                    <m:m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13</m:t>
                            </m:r>
                          </m:sub>
                        </m:sSub>
                      </m:e>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23</m:t>
                            </m:r>
                          </m:sub>
                        </m:sSub>
                      </m:e>
                    </m:mr>
                  </m:m>
                </m:e>
                <m:e>
                  <m:m>
                    <m:mPr>
                      <m:mcs>
                        <m:mc>
                          <m:mcPr>
                            <m:count m:val="2"/>
                            <m:mcJc m:val="center"/>
                          </m:mcPr>
                        </m:mc>
                      </m:mcs>
                      <m:ctrlPr>
                        <w:rPr>
                          <w:rFonts w:ascii="Cambria Math" w:hAnsi="Cambria Math" w:cs="Times New Roman"/>
                          <w:b/>
                          <w:bCs/>
                          <w:i/>
                          <w:sz w:val="24"/>
                          <w:szCs w:val="24"/>
                          <w:lang w:val="en-GB"/>
                        </w:rPr>
                      </m:ctrlPr>
                    </m:mPr>
                    <m:mr>
                      <m:e>
                        <m:r>
                          <m:rPr>
                            <m:sty m:val="bi"/>
                          </m:rPr>
                          <w:rPr>
                            <w:rFonts w:ascii="Cambria Math" w:hAnsi="Cambria Math" w:cs="Times New Roman"/>
                            <w:sz w:val="24"/>
                            <w:szCs w:val="24"/>
                            <w:lang w:val="en-GB"/>
                          </w:rPr>
                          <m:t>1</m:t>
                        </m:r>
                      </m:e>
                      <m:e>
                        <m:r>
                          <m:rPr>
                            <m:sty m:val="bi"/>
                          </m:rPr>
                          <w:rPr>
                            <w:rFonts w:ascii="Cambria Math" w:hAnsi="Cambria Math" w:cs="Times New Roman"/>
                            <w:sz w:val="24"/>
                            <w:szCs w:val="24"/>
                            <w:lang w:val="en-GB"/>
                          </w:rPr>
                          <m:t>1</m:t>
                        </m:r>
                      </m:e>
                    </m:mr>
                    <m:m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32</m:t>
                            </m:r>
                          </m:sub>
                        </m:sSub>
                      </m:e>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42</m:t>
                            </m:r>
                          </m:sub>
                        </m:sSub>
                      </m:e>
                    </m:mr>
                    <m:m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33</m:t>
                            </m:r>
                          </m:sub>
                        </m:sSub>
                      </m:e>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43</m:t>
                            </m:r>
                          </m:sub>
                        </m:sSub>
                      </m:e>
                    </m:mr>
                  </m:m>
                </m:e>
              </m:mr>
            </m:m>
          </m:e>
        </m:d>
        <m:d>
          <m:dPr>
            <m:begChr m:val="["/>
            <m:endChr m:val="]"/>
            <m:ctrlPr>
              <w:rPr>
                <w:rFonts w:ascii="Cambria Math" w:hAnsi="Cambria Math" w:cs="Times New Roman"/>
                <w:b/>
                <w:bCs/>
                <w:i/>
                <w:sz w:val="24"/>
                <w:szCs w:val="24"/>
                <w:lang w:val="en-GB"/>
              </w:rPr>
            </m:ctrlPr>
          </m:dPr>
          <m:e>
            <m:m>
              <m:mPr>
                <m:mcs>
                  <m:mc>
                    <m:mcPr>
                      <m:count m:val="2"/>
                      <m:mcJc m:val="center"/>
                    </m:mcPr>
                  </m:mc>
                </m:mcs>
                <m:ctrlPr>
                  <w:rPr>
                    <w:rFonts w:ascii="Cambria Math" w:hAnsi="Cambria Math" w:cs="Times New Roman"/>
                    <w:b/>
                    <w:bCs/>
                    <w:i/>
                    <w:sz w:val="24"/>
                    <w:szCs w:val="24"/>
                    <w:lang w:val="en-GB"/>
                  </w:rPr>
                </m:ctrlPr>
              </m:mPr>
              <m:mr>
                <m:e>
                  <m:m>
                    <m:mPr>
                      <m:mcs>
                        <m:mc>
                          <m:mcPr>
                            <m:count m:val="2"/>
                            <m:mcJc m:val="center"/>
                          </m:mcPr>
                        </m:mc>
                      </m:mcs>
                      <m:ctrlPr>
                        <w:rPr>
                          <w:rFonts w:ascii="Cambria Math" w:hAnsi="Cambria Math" w:cs="Times New Roman"/>
                          <w:b/>
                          <w:bCs/>
                          <w:i/>
                          <w:sz w:val="24"/>
                          <w:szCs w:val="24"/>
                          <w:lang w:val="en-GB"/>
                        </w:rPr>
                      </m:ctrlPr>
                    </m:mPr>
                    <m:m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11</m:t>
                            </m:r>
                          </m:sub>
                        </m:sSub>
                      </m:e>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12</m:t>
                            </m:r>
                          </m:sub>
                        </m:sSub>
                      </m:e>
                    </m:mr>
                    <m:m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21</m:t>
                            </m:r>
                          </m:sub>
                        </m:sSub>
                      </m:e>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22</m:t>
                            </m:r>
                          </m:sub>
                        </m:sSub>
                      </m:e>
                    </m:mr>
                  </m:m>
                </m:e>
                <m:e>
                  <m:m>
                    <m:mPr>
                      <m:mcs>
                        <m:mc>
                          <m:mcPr>
                            <m:count m:val="2"/>
                            <m:mcJc m:val="center"/>
                          </m:mcPr>
                        </m:mc>
                      </m:mcs>
                      <m:ctrlPr>
                        <w:rPr>
                          <w:rFonts w:ascii="Cambria Math" w:hAnsi="Cambria Math" w:cs="Times New Roman"/>
                          <w:b/>
                          <w:bCs/>
                          <w:i/>
                          <w:sz w:val="24"/>
                          <w:szCs w:val="24"/>
                          <w:lang w:val="en-GB"/>
                        </w:rPr>
                      </m:ctrlPr>
                    </m:mPr>
                    <m:m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13</m:t>
                            </m:r>
                          </m:sub>
                        </m:sSub>
                      </m:e>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14</m:t>
                            </m:r>
                          </m:sub>
                        </m:sSub>
                      </m:e>
                    </m:mr>
                    <m:m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23</m:t>
                            </m:r>
                          </m:sub>
                        </m:sSub>
                      </m:e>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24</m:t>
                            </m:r>
                          </m:sub>
                        </m:sSub>
                      </m:e>
                    </m:mr>
                  </m:m>
                </m:e>
              </m:mr>
              <m:mr>
                <m:e>
                  <m:m>
                    <m:mPr>
                      <m:mcs>
                        <m:mc>
                          <m:mcPr>
                            <m:count m:val="2"/>
                            <m:mcJc m:val="center"/>
                          </m:mcPr>
                        </m:mc>
                      </m:mcs>
                      <m:ctrlPr>
                        <w:rPr>
                          <w:rFonts w:ascii="Cambria Math" w:hAnsi="Cambria Math" w:cs="Times New Roman"/>
                          <w:b/>
                          <w:bCs/>
                          <w:i/>
                          <w:sz w:val="24"/>
                          <w:szCs w:val="24"/>
                          <w:lang w:val="en-GB"/>
                        </w:rPr>
                      </m:ctrlPr>
                    </m:mPr>
                    <m:m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31</m:t>
                            </m:r>
                          </m:sub>
                        </m:sSub>
                      </m:e>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32</m:t>
                            </m:r>
                          </m:sub>
                        </m:sSub>
                      </m:e>
                    </m:mr>
                    <m:m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41</m:t>
                            </m:r>
                          </m:sub>
                        </m:sSub>
                      </m:e>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42</m:t>
                            </m:r>
                          </m:sub>
                        </m:sSub>
                      </m:e>
                    </m:mr>
                  </m:m>
                </m:e>
                <m:e>
                  <m:m>
                    <m:mPr>
                      <m:mcs>
                        <m:mc>
                          <m:mcPr>
                            <m:count m:val="2"/>
                            <m:mcJc m:val="center"/>
                          </m:mcPr>
                        </m:mc>
                      </m:mcs>
                      <m:ctrlPr>
                        <w:rPr>
                          <w:rFonts w:ascii="Cambria Math" w:hAnsi="Cambria Math" w:cs="Times New Roman"/>
                          <w:b/>
                          <w:bCs/>
                          <w:i/>
                          <w:sz w:val="24"/>
                          <w:szCs w:val="24"/>
                          <w:lang w:val="en-GB"/>
                        </w:rPr>
                      </m:ctrlPr>
                    </m:mPr>
                    <m:m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33</m:t>
                            </m:r>
                          </m:sub>
                        </m:sSub>
                      </m:e>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34</m:t>
                            </m:r>
                          </m:sub>
                        </m:sSub>
                      </m:e>
                    </m:mr>
                    <m:m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43</m:t>
                            </m:r>
                          </m:sub>
                        </m:sSub>
                      </m:e>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44</m:t>
                            </m:r>
                          </m:sub>
                        </m:sSub>
                      </m:e>
                    </m:mr>
                  </m:m>
                </m:e>
              </m:mr>
            </m:m>
          </m:e>
        </m:d>
        <m:d>
          <m:dPr>
            <m:begChr m:val="["/>
            <m:endChr m:val="]"/>
            <m:ctrlPr>
              <w:rPr>
                <w:rFonts w:ascii="Cambria Math" w:hAnsi="Cambria Math" w:cs="Times New Roman"/>
                <w:b/>
                <w:bCs/>
                <w:i/>
                <w:sz w:val="24"/>
                <w:szCs w:val="24"/>
                <w:lang w:val="en-GB"/>
              </w:rPr>
            </m:ctrlPr>
          </m:dPr>
          <m:e>
            <m:m>
              <m:mPr>
                <m:mcs>
                  <m:mc>
                    <m:mcPr>
                      <m:count m:val="1"/>
                      <m:mcJc m:val="center"/>
                    </m:mcPr>
                  </m:mc>
                </m:mcs>
                <m:ctrlPr>
                  <w:rPr>
                    <w:rFonts w:ascii="Cambria Math" w:hAnsi="Cambria Math" w:cs="Times New Roman"/>
                    <w:b/>
                    <w:bCs/>
                    <w:i/>
                    <w:sz w:val="24"/>
                    <w:szCs w:val="24"/>
                    <w:lang w:val="en-GB"/>
                  </w:rPr>
                </m:ctrlPr>
              </m:mPr>
              <m:mr>
                <m:e>
                  <m:m>
                    <m:mPr>
                      <m:mcs>
                        <m:mc>
                          <m:mcPr>
                            <m:count m:val="3"/>
                            <m:mcJc m:val="center"/>
                          </m:mcPr>
                        </m:mc>
                      </m:mcs>
                      <m:ctrlPr>
                        <w:rPr>
                          <w:rFonts w:ascii="Cambria Math" w:hAnsi="Cambria Math" w:cs="Times New Roman"/>
                          <w:b/>
                          <w:bCs/>
                          <w:i/>
                          <w:sz w:val="24"/>
                          <w:szCs w:val="24"/>
                          <w:lang w:val="en-GB"/>
                        </w:rPr>
                      </m:ctrlPr>
                    </m:mPr>
                    <m:mr>
                      <m:e>
                        <m:r>
                          <m:rPr>
                            <m:sty m:val="bi"/>
                          </m:rPr>
                          <w:rPr>
                            <w:rFonts w:ascii="Cambria Math" w:hAnsi="Cambria Math" w:cs="Times New Roman"/>
                            <w:sz w:val="24"/>
                            <w:szCs w:val="24"/>
                            <w:lang w:val="en-GB"/>
                          </w:rPr>
                          <m:t>1</m:t>
                        </m:r>
                      </m:e>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12</m:t>
                            </m:r>
                          </m:sub>
                        </m:sSub>
                      </m:e>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13</m:t>
                            </m:r>
                          </m:sub>
                        </m:sSub>
                      </m:e>
                    </m:mr>
                    <m:mr>
                      <m:e>
                        <m:r>
                          <m:rPr>
                            <m:sty m:val="bi"/>
                          </m:rPr>
                          <w:rPr>
                            <w:rFonts w:ascii="Cambria Math" w:hAnsi="Cambria Math" w:cs="Times New Roman"/>
                            <w:sz w:val="24"/>
                            <w:szCs w:val="24"/>
                            <w:lang w:val="en-GB"/>
                          </w:rPr>
                          <m:t>1</m:t>
                        </m:r>
                      </m:e>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22</m:t>
                            </m:r>
                          </m:sub>
                        </m:sSub>
                      </m:e>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23</m:t>
                            </m:r>
                          </m:sub>
                        </m:sSub>
                      </m:e>
                    </m:mr>
                  </m:m>
                </m:e>
              </m:mr>
              <m:mr>
                <m:e>
                  <m:m>
                    <m:mPr>
                      <m:mcs>
                        <m:mc>
                          <m:mcPr>
                            <m:count m:val="3"/>
                            <m:mcJc m:val="center"/>
                          </m:mcPr>
                        </m:mc>
                      </m:mcs>
                      <m:ctrlPr>
                        <w:rPr>
                          <w:rFonts w:ascii="Cambria Math" w:hAnsi="Cambria Math" w:cs="Times New Roman"/>
                          <w:b/>
                          <w:bCs/>
                          <w:i/>
                          <w:sz w:val="24"/>
                          <w:szCs w:val="24"/>
                          <w:lang w:val="en-GB"/>
                        </w:rPr>
                      </m:ctrlPr>
                    </m:mPr>
                    <m:mr>
                      <m:e>
                        <m:r>
                          <m:rPr>
                            <m:sty m:val="bi"/>
                          </m:rPr>
                          <w:rPr>
                            <w:rFonts w:ascii="Cambria Math" w:hAnsi="Cambria Math" w:cs="Times New Roman"/>
                            <w:sz w:val="24"/>
                            <w:szCs w:val="24"/>
                            <w:lang w:val="en-GB"/>
                          </w:rPr>
                          <m:t>1</m:t>
                        </m:r>
                      </m:e>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32</m:t>
                            </m:r>
                          </m:sub>
                        </m:sSub>
                      </m:e>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33</m:t>
                            </m:r>
                          </m:sub>
                        </m:sSub>
                      </m:e>
                    </m:mr>
                    <m:mr>
                      <m:e>
                        <m:r>
                          <m:rPr>
                            <m:sty m:val="bi"/>
                          </m:rPr>
                          <w:rPr>
                            <w:rFonts w:ascii="Cambria Math" w:hAnsi="Cambria Math" w:cs="Times New Roman"/>
                            <w:sz w:val="24"/>
                            <w:szCs w:val="24"/>
                            <w:lang w:val="en-GB"/>
                          </w:rPr>
                          <m:t>1</m:t>
                        </m:r>
                      </m:e>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42</m:t>
                            </m:r>
                          </m:sub>
                        </m:sSub>
                      </m:e>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43</m:t>
                            </m:r>
                          </m:sub>
                        </m:sSub>
                      </m:e>
                    </m:mr>
                  </m:m>
                </m:e>
              </m:mr>
            </m:m>
          </m:e>
        </m:d>
        <m:r>
          <m:rPr>
            <m:sty m:val="bi"/>
          </m:rPr>
          <w:rPr>
            <w:rFonts w:ascii="Cambria Math" w:hAnsi="Cambria Math" w:cs="Times New Roman"/>
            <w:sz w:val="24"/>
            <w:szCs w:val="24"/>
            <w:lang w:val="en-GB"/>
          </w:rPr>
          <m:t>=</m:t>
        </m:r>
        <m:nary>
          <m:naryPr>
            <m:chr m:val="∑"/>
            <m:limLoc m:val="undOvr"/>
            <m:ctrlPr>
              <w:rPr>
                <w:rFonts w:ascii="Cambria Math" w:hAnsi="Cambria Math" w:cs="Times New Roman"/>
                <w:b/>
                <w:bCs/>
                <w:i/>
                <w:sz w:val="24"/>
                <w:szCs w:val="24"/>
                <w:lang w:val="en-GB"/>
              </w:rPr>
            </m:ctrlPr>
          </m:naryPr>
          <m:sub>
            <m:r>
              <w:rPr>
                <w:rFonts w:ascii="Cambria Math" w:hAnsi="Cambria Math" w:cs="Times New Roman"/>
                <w:sz w:val="24"/>
                <w:szCs w:val="24"/>
                <w:lang w:val="en-GB"/>
              </w:rPr>
              <m:t>t=1</m:t>
            </m:r>
          </m:sub>
          <m:sup>
            <m:r>
              <w:rPr>
                <w:rFonts w:ascii="Cambria Math" w:hAnsi="Cambria Math" w:cs="Times New Roman"/>
                <w:sz w:val="24"/>
                <w:szCs w:val="24"/>
                <w:lang w:val="en-GB"/>
              </w:rPr>
              <m:t>T</m:t>
            </m:r>
          </m:sup>
          <m:e>
            <m:nary>
              <m:naryPr>
                <m:chr m:val="∑"/>
                <m:limLoc m:val="undOvr"/>
                <m:ctrlPr>
                  <w:rPr>
                    <w:rFonts w:ascii="Cambria Math" w:hAnsi="Cambria Math" w:cs="Times New Roman"/>
                    <w:b/>
                    <w:bCs/>
                    <w:i/>
                    <w:sz w:val="24"/>
                    <w:szCs w:val="24"/>
                    <w:lang w:val="en-GB"/>
                  </w:rPr>
                </m:ctrlPr>
              </m:naryPr>
              <m:sub>
                <m:r>
                  <w:rPr>
                    <w:rFonts w:ascii="Cambria Math" w:hAnsi="Cambria Math" w:cs="Times New Roman"/>
                    <w:sz w:val="24"/>
                    <w:szCs w:val="24"/>
                    <w:lang w:val="en-GB"/>
                  </w:rPr>
                  <m:t>s=1</m:t>
                </m:r>
              </m:sub>
              <m:sup>
                <m:r>
                  <w:rPr>
                    <w:rFonts w:ascii="Cambria Math" w:hAnsi="Cambria Math" w:cs="Times New Roman"/>
                    <w:sz w:val="24"/>
                    <w:szCs w:val="24"/>
                    <w:lang w:val="en-GB"/>
                  </w:rPr>
                  <m:t>T</m:t>
                </m:r>
              </m:sup>
              <m:e>
                <w:bookmarkStart w:id="0" w:name="_Hlk30064450"/>
                <m:sSub>
                  <m:sSubPr>
                    <m:ctrlPr>
                      <w:rPr>
                        <w:rFonts w:ascii="Cambria Math" w:hAnsi="Cambria Math" w:cs="Times New Roman"/>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ts</m:t>
                    </m:r>
                  </m:sub>
                </m:sSub>
                <w:bookmarkEnd w:id="0"/>
                <m:sSubSup>
                  <m:sSubSupPr>
                    <m:ctrlPr>
                      <w:rPr>
                        <w:rFonts w:ascii="Cambria Math" w:hAnsi="Cambria Math" w:cs="Times New Roman"/>
                        <w:b/>
                        <w:bCs/>
                        <w:iCs/>
                        <w:sz w:val="24"/>
                        <w:szCs w:val="24"/>
                        <w:lang w:val="en-GB"/>
                      </w:rPr>
                    </m:ctrlPr>
                  </m:sSubSupPr>
                  <m:e>
                    <m:r>
                      <m:rPr>
                        <m:sty m:val="b"/>
                      </m:rPr>
                      <w:rPr>
                        <w:rFonts w:ascii="Cambria Math" w:hAnsi="Cambria Math" w:cs="Times New Roman"/>
                        <w:sz w:val="24"/>
                        <w:szCs w:val="24"/>
                        <w:lang w:val="en-GB"/>
                      </w:rPr>
                      <m:t>X</m:t>
                    </m:r>
                  </m:e>
                  <m:sub>
                    <m:r>
                      <w:rPr>
                        <w:rFonts w:ascii="Cambria Math" w:hAnsi="Cambria Math" w:cs="Times New Roman"/>
                        <w:sz w:val="24"/>
                        <w:szCs w:val="24"/>
                        <w:lang w:val="en-GB"/>
                      </w:rPr>
                      <m:t>t</m:t>
                    </m:r>
                  </m:sub>
                  <m:sup>
                    <m:r>
                      <m:rPr>
                        <m:sty m:val="bi"/>
                      </m:rPr>
                      <w:rPr>
                        <w:rFonts w:ascii="Cambria Math" w:hAnsi="Cambria Math" w:cs="Times New Roman"/>
                        <w:sz w:val="24"/>
                        <w:szCs w:val="24"/>
                        <w:lang w:val="en-GB"/>
                      </w:rPr>
                      <m:t>'</m:t>
                    </m:r>
                  </m:sup>
                </m:sSubSup>
              </m:e>
            </m:nary>
          </m:e>
        </m:nary>
        <m:sSub>
          <m:sSubPr>
            <m:ctrlPr>
              <w:rPr>
                <w:rFonts w:ascii="Cambria Math" w:hAnsi="Cambria Math" w:cs="Times New Roman"/>
                <w:b/>
                <w:bCs/>
                <w:i/>
                <w:sz w:val="24"/>
                <w:szCs w:val="24"/>
                <w:lang w:val="en-GB"/>
              </w:rPr>
            </m:ctrlPr>
          </m:sSubPr>
          <m:e>
            <m:r>
              <m:rPr>
                <m:sty m:val="b"/>
              </m:rPr>
              <w:rPr>
                <w:rFonts w:ascii="Cambria Math" w:hAnsi="Cambria Math" w:cs="Times New Roman"/>
                <w:sz w:val="24"/>
                <w:szCs w:val="24"/>
                <w:lang w:val="en-GB"/>
              </w:rPr>
              <m:t>X</m:t>
            </m:r>
          </m:e>
          <m:sub>
            <m:r>
              <w:rPr>
                <w:rFonts w:ascii="Cambria Math" w:hAnsi="Cambria Math" w:cs="Times New Roman"/>
                <w:sz w:val="24"/>
                <w:szCs w:val="24"/>
                <w:lang w:val="en-GB"/>
              </w:rPr>
              <m:t>s</m:t>
            </m:r>
          </m:sub>
        </m:sSub>
        <m:r>
          <w:rPr>
            <w:rFonts w:ascii="Cambria Math" w:eastAsiaTheme="minorEastAsia" w:hAnsi="Cambria Math" w:cs="Times New Roman"/>
            <w:sz w:val="24"/>
            <w:szCs w:val="24"/>
            <w:lang w:val="en-GB"/>
          </w:rPr>
          <m:t>,</m:t>
        </m:r>
      </m:oMath>
      <w:r w:rsidRPr="007D2E18">
        <w:rPr>
          <w:rFonts w:ascii="Times New Roman" w:eastAsiaTheme="minorEastAsia" w:hAnsi="Times New Roman" w:cs="Times New Roman"/>
          <w:sz w:val="24"/>
          <w:szCs w:val="24"/>
          <w:lang w:val="en-GB"/>
        </w:rPr>
        <w:tab/>
        <w:t>(4)</w:t>
      </w:r>
    </w:p>
    <w:p w14:paraId="0349ACB7" w14:textId="77777777" w:rsidR="00F03178" w:rsidRPr="007D2E18" w:rsidRDefault="00F03178" w:rsidP="00A456AE">
      <w:pPr>
        <w:spacing w:after="0" w:line="240" w:lineRule="auto"/>
        <w:jc w:val="both"/>
        <w:rPr>
          <w:rFonts w:ascii="Times New Roman" w:hAnsi="Times New Roman" w:cs="Times New Roman"/>
          <w:sz w:val="24"/>
          <w:szCs w:val="24"/>
          <w:lang w:val="en-GB"/>
        </w:rPr>
      </w:pPr>
    </w:p>
    <w:p w14:paraId="2692F61E" w14:textId="77777777" w:rsidR="00DC6EB4"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where </w:t>
      </w:r>
      <m:oMath>
        <m:sSub>
          <m:sSubPr>
            <m:ctrlPr>
              <w:rPr>
                <w:rFonts w:ascii="Cambria Math" w:hAnsi="Cambria Math" w:cs="Times New Roman"/>
                <w:b/>
                <w:bCs/>
                <w:i/>
                <w:sz w:val="24"/>
                <w:szCs w:val="24"/>
                <w:lang w:val="en-GB"/>
              </w:rPr>
            </m:ctrlPr>
          </m:sSubPr>
          <m:e>
            <m:r>
              <m:rPr>
                <m:sty m:val="b"/>
              </m:rPr>
              <w:rPr>
                <w:rFonts w:ascii="Cambria Math" w:hAnsi="Cambria Math" w:cs="Times New Roman"/>
                <w:sz w:val="24"/>
                <w:szCs w:val="24"/>
                <w:lang w:val="en-GB"/>
              </w:rPr>
              <m:t>X</m:t>
            </m:r>
          </m:e>
          <m:sub>
            <m:r>
              <w:rPr>
                <w:rFonts w:ascii="Cambria Math" w:hAnsi="Cambria Math" w:cs="Times New Roman"/>
                <w:sz w:val="24"/>
                <w:szCs w:val="24"/>
                <w:lang w:val="en-GB"/>
              </w:rPr>
              <m:t>s</m:t>
            </m:r>
          </m:sub>
        </m:sSub>
        <m:r>
          <m:rPr>
            <m:sty m:val="bi"/>
          </m:rPr>
          <w:rPr>
            <w:rFonts w:ascii="Cambria Math" w:hAnsi="Cambria Math" w:cs="Times New Roman"/>
            <w:sz w:val="24"/>
            <w:szCs w:val="24"/>
            <w:lang w:val="en-GB"/>
          </w:rPr>
          <m:t>=</m:t>
        </m:r>
        <m:d>
          <m:dPr>
            <m:ctrlPr>
              <w:rPr>
                <w:rFonts w:ascii="Cambria Math" w:hAnsi="Cambria Math" w:cs="Times New Roman"/>
                <w:b/>
                <w:bCs/>
                <w:i/>
                <w:sz w:val="24"/>
                <w:szCs w:val="24"/>
                <w:lang w:val="en-GB"/>
              </w:rPr>
            </m:ctrlPr>
          </m:dPr>
          <m:e>
            <m:m>
              <m:mPr>
                <m:mcs>
                  <m:mc>
                    <m:mcPr>
                      <m:count m:val="3"/>
                      <m:mcJc m:val="center"/>
                    </m:mcPr>
                  </m:mc>
                </m:mcs>
                <m:ctrlPr>
                  <w:rPr>
                    <w:rFonts w:ascii="Cambria Math" w:hAnsi="Cambria Math" w:cs="Times New Roman"/>
                    <w:b/>
                    <w:bCs/>
                    <w:i/>
                    <w:sz w:val="24"/>
                    <w:szCs w:val="24"/>
                    <w:lang w:val="en-GB"/>
                  </w:rPr>
                </m:ctrlPr>
              </m:mPr>
              <m:mr>
                <m:e>
                  <m:r>
                    <m:rPr>
                      <m:sty m:val="bi"/>
                    </m:rPr>
                    <w:rPr>
                      <w:rFonts w:ascii="Cambria Math" w:hAnsi="Cambria Math" w:cs="Times New Roman"/>
                      <w:sz w:val="24"/>
                      <w:szCs w:val="24"/>
                      <w:lang w:val="en-GB"/>
                    </w:rPr>
                    <m:t>1</m:t>
                  </m:r>
                </m:e>
                <m:e>
                  <m:sSub>
                    <m:sSubPr>
                      <m:ctrlPr>
                        <w:rPr>
                          <w:rFonts w:ascii="Cambria Math" w:hAnsi="Cambria Math" w:cs="Times New Roman"/>
                          <w:b/>
                          <w:bCs/>
                          <w:i/>
                          <w:sz w:val="24"/>
                          <w:szCs w:val="24"/>
                          <w:lang w:val="en-GB"/>
                        </w:rPr>
                      </m:ctrlPr>
                    </m:sSubPr>
                    <m:e>
                      <m:r>
                        <m:rPr>
                          <m:sty m:val="b"/>
                        </m:rPr>
                        <w:rPr>
                          <w:rFonts w:ascii="Cambria Math" w:hAnsi="Cambria Math" w:cs="Times New Roman"/>
                          <w:sz w:val="24"/>
                          <w:szCs w:val="24"/>
                          <w:lang w:val="en-GB"/>
                        </w:rPr>
                        <m:t>X</m:t>
                      </m:r>
                    </m:e>
                    <m:sub>
                      <m:r>
                        <w:rPr>
                          <w:rFonts w:ascii="Cambria Math" w:hAnsi="Cambria Math" w:cs="Times New Roman"/>
                          <w:sz w:val="24"/>
                          <w:szCs w:val="24"/>
                          <w:lang w:val="en-GB"/>
                        </w:rPr>
                        <m:t>s2</m:t>
                      </m:r>
                    </m:sub>
                  </m:sSub>
                </m:e>
                <m:e>
                  <m:sSub>
                    <m:sSubPr>
                      <m:ctrlPr>
                        <w:rPr>
                          <w:rFonts w:ascii="Cambria Math" w:hAnsi="Cambria Math" w:cs="Times New Roman"/>
                          <w:b/>
                          <w:bCs/>
                          <w:i/>
                          <w:sz w:val="24"/>
                          <w:szCs w:val="24"/>
                          <w:lang w:val="en-GB"/>
                        </w:rPr>
                      </m:ctrlPr>
                    </m:sSubPr>
                    <m:e>
                      <m:r>
                        <m:rPr>
                          <m:sty m:val="b"/>
                        </m:rPr>
                        <w:rPr>
                          <w:rFonts w:ascii="Cambria Math" w:hAnsi="Cambria Math" w:cs="Times New Roman"/>
                          <w:sz w:val="24"/>
                          <w:szCs w:val="24"/>
                          <w:lang w:val="en-GB"/>
                        </w:rPr>
                        <m:t>X</m:t>
                      </m:r>
                    </m:e>
                    <m:sub>
                      <m:r>
                        <w:rPr>
                          <w:rFonts w:ascii="Cambria Math" w:hAnsi="Cambria Math" w:cs="Times New Roman"/>
                          <w:sz w:val="24"/>
                          <w:szCs w:val="24"/>
                          <w:lang w:val="en-GB"/>
                        </w:rPr>
                        <m:t>s3</m:t>
                      </m:r>
                    </m:sub>
                  </m:sSub>
                </m:e>
              </m:mr>
            </m:m>
          </m:e>
        </m:d>
      </m:oMath>
      <w:r w:rsidRPr="007D2E18">
        <w:rPr>
          <w:rFonts w:ascii="Times New Roman" w:hAnsi="Times New Roman" w:cs="Times New Roman"/>
          <w:sz w:val="24"/>
          <w:szCs w:val="24"/>
          <w:lang w:val="en-GB"/>
        </w:rPr>
        <w:t xml:space="preserve">. The shape of equation (4) implies that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ts</m:t>
            </m:r>
          </m:sub>
        </m:sSub>
      </m:oMath>
      <w:r w:rsidRPr="007D2E18">
        <w:rPr>
          <w:rFonts w:ascii="Times New Roman" w:hAnsi="Times New Roman" w:cs="Times New Roman"/>
          <w:sz w:val="24"/>
          <w:szCs w:val="24"/>
          <w:lang w:val="en-GB"/>
        </w:rPr>
        <w:t xml:space="preserve"> provide weights associated with observations that differs in </w:t>
      </w:r>
      <m:oMath>
        <m:r>
          <w:rPr>
            <w:rFonts w:ascii="Cambria Math" w:hAnsi="Cambria Math" w:cs="Times New Roman"/>
            <w:sz w:val="24"/>
            <w:szCs w:val="24"/>
            <w:lang w:val="en-GB"/>
          </w:rPr>
          <m:t>t-s</m:t>
        </m:r>
      </m:oMath>
      <w:r w:rsidRPr="007D2E18">
        <w:rPr>
          <w:rFonts w:ascii="Times New Roman" w:hAnsi="Times New Roman" w:cs="Times New Roman"/>
          <w:sz w:val="24"/>
          <w:szCs w:val="24"/>
          <w:lang w:val="en-GB"/>
        </w:rPr>
        <w:t xml:space="preserve"> periods. If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ts</m:t>
            </m:r>
          </m:sub>
        </m:sSub>
        <m:r>
          <w:rPr>
            <w:rFonts w:ascii="Cambria Math" w:hAnsi="Cambria Math" w:cs="Times New Roman"/>
            <w:sz w:val="24"/>
            <w:szCs w:val="24"/>
            <w:lang w:val="en-GB"/>
          </w:rPr>
          <m:t>=0</m:t>
        </m:r>
      </m:oMath>
      <w:r w:rsidRPr="007D2E18">
        <w:rPr>
          <w:rFonts w:ascii="Times New Roman" w:hAnsi="Times New Roman" w:cs="Times New Roman"/>
          <w:sz w:val="24"/>
          <w:szCs w:val="24"/>
          <w:lang w:val="en-GB"/>
        </w:rPr>
        <w:t xml:space="preserve"> for</w:t>
      </w:r>
      <w:r w:rsidR="00DC6EB4" w:rsidRPr="007D2E18">
        <w:rPr>
          <w:rFonts w:ascii="Times New Roman" w:hAnsi="Times New Roman" w:cs="Times New Roman"/>
          <w:sz w:val="24"/>
          <w:szCs w:val="24"/>
          <w:lang w:val="en-GB"/>
        </w:rPr>
        <w:t xml:space="preserve"> </w:t>
      </w:r>
      <m:oMath>
        <m:r>
          <w:rPr>
            <w:rFonts w:ascii="Cambria Math" w:hAnsi="Cambria Math" w:cs="Times New Roman"/>
            <w:sz w:val="24"/>
            <w:szCs w:val="24"/>
            <w:lang w:val="en-GB"/>
          </w:rPr>
          <m:t>t≠s</m:t>
        </m:r>
      </m:oMath>
      <w:r w:rsidRPr="007D2E18">
        <w:rPr>
          <w:rFonts w:ascii="Times New Roman" w:hAnsi="Times New Roman" w:cs="Times New Roman"/>
          <w:sz w:val="24"/>
          <w:szCs w:val="24"/>
          <w:lang w:val="en-GB"/>
        </w:rPr>
        <w:t xml:space="preserve">, there is no serial correlation of an order greater than </w:t>
      </w:r>
      <w:r w:rsidR="00DC6EB4" w:rsidRPr="007D2E18">
        <w:rPr>
          <w:rFonts w:ascii="Times New Roman" w:hAnsi="Times New Roman" w:cs="Times New Roman"/>
          <w:sz w:val="24"/>
          <w:szCs w:val="24"/>
          <w:lang w:val="en-GB"/>
        </w:rPr>
        <w:t>“</w:t>
      </w:r>
      <m:oMath>
        <m:r>
          <w:rPr>
            <w:rFonts w:ascii="Cambria Math" w:hAnsi="Cambria Math" w:cs="Times New Roman"/>
            <w:sz w:val="24"/>
            <w:szCs w:val="24"/>
            <w:lang w:val="en-GB"/>
          </w:rPr>
          <m:t>s</m:t>
        </m:r>
      </m:oMath>
      <w:r w:rsidR="00DC6EB4"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w:t>
      </w:r>
    </w:p>
    <w:p w14:paraId="52BBAE0B" w14:textId="77777777" w:rsidR="00DC6EB4" w:rsidRPr="007D2E18" w:rsidRDefault="00DC6EB4" w:rsidP="00A456AE">
      <w:pPr>
        <w:spacing w:after="0" w:line="240" w:lineRule="auto"/>
        <w:jc w:val="both"/>
        <w:rPr>
          <w:rFonts w:ascii="Times New Roman" w:hAnsi="Times New Roman" w:cs="Times New Roman"/>
          <w:sz w:val="24"/>
          <w:szCs w:val="24"/>
          <w:lang w:val="en-GB"/>
        </w:rPr>
      </w:pPr>
    </w:p>
    <w:p w14:paraId="20119E46" w14:textId="77777777" w:rsidR="00644DAD"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Define </w:t>
      </w:r>
      <m:oMath>
        <m:r>
          <w:rPr>
            <w:rFonts w:ascii="Cambria Math" w:hAnsi="Cambria Math" w:cs="Times New Roman"/>
            <w:sz w:val="24"/>
            <w:szCs w:val="24"/>
            <w:lang w:val="en-GB"/>
          </w:rPr>
          <m:t>h≡t-s</m:t>
        </m:r>
      </m:oMath>
      <w:r w:rsidRPr="007D2E18">
        <w:rPr>
          <w:rFonts w:ascii="Times New Roman" w:hAnsi="Times New Roman" w:cs="Times New Roman"/>
          <w:sz w:val="24"/>
          <w:szCs w:val="24"/>
          <w:lang w:val="en-GB"/>
        </w:rPr>
        <w:t xml:space="preserve">, so, </w:t>
      </w:r>
      <m:oMath>
        <m:r>
          <w:rPr>
            <w:rFonts w:ascii="Cambria Math" w:hAnsi="Cambria Math" w:cs="Times New Roman"/>
            <w:sz w:val="24"/>
            <w:szCs w:val="24"/>
            <w:lang w:val="en-GB"/>
          </w:rPr>
          <m:t>s≡t-h</m:t>
        </m:r>
      </m:oMath>
      <w:r w:rsidR="00DC6EB4" w:rsidRPr="007D2E18">
        <w:rPr>
          <w:rFonts w:ascii="Times New Roman" w:hAnsi="Times New Roman" w:cs="Times New Roman"/>
          <w:sz w:val="24"/>
          <w:szCs w:val="24"/>
          <w:lang w:val="en-GB"/>
        </w:rPr>
        <w:t xml:space="preserve"> </w:t>
      </w:r>
      <w:r w:rsidRPr="007D2E18">
        <w:rPr>
          <w:rFonts w:ascii="Times New Roman" w:hAnsi="Times New Roman" w:cs="Times New Roman"/>
          <w:sz w:val="24"/>
          <w:szCs w:val="24"/>
          <w:lang w:val="en-GB"/>
        </w:rPr>
        <w:t xml:space="preserve">and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t,h-t</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h-t,t</m:t>
            </m:r>
          </m:sub>
        </m:sSub>
      </m:oMath>
      <w:r w:rsidRPr="007D2E18">
        <w:rPr>
          <w:rFonts w:ascii="Times New Roman" w:hAnsi="Times New Roman" w:cs="Times New Roman"/>
          <w:sz w:val="24"/>
          <w:szCs w:val="24"/>
          <w:lang w:val="en-GB"/>
        </w:rPr>
        <w:t xml:space="preserve">, meaning that what matters for the correlation control is the time difference </w:t>
      </w:r>
      <m:oMath>
        <m:r>
          <w:rPr>
            <w:rFonts w:ascii="Cambria Math" w:hAnsi="Cambria Math" w:cs="Times New Roman"/>
            <w:sz w:val="24"/>
            <w:szCs w:val="24"/>
            <w:lang w:val="en-GB"/>
          </w:rPr>
          <m:t>h</m:t>
        </m:r>
      </m:oMath>
      <w:r w:rsidRPr="007D2E18">
        <w:rPr>
          <w:rFonts w:ascii="Times New Roman" w:hAnsi="Times New Roman" w:cs="Times New Roman"/>
          <w:sz w:val="24"/>
          <w:szCs w:val="24"/>
          <w:lang w:val="en-GB"/>
        </w:rPr>
        <w:t xml:space="preserve">. For example, if </w:t>
      </w: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t</m:t>
            </m:r>
          </m:sub>
        </m:sSub>
      </m:oMath>
      <w:r w:rsidRPr="007D2E18">
        <w:rPr>
          <w:rFonts w:ascii="Times New Roman" w:hAnsi="Times New Roman" w:cs="Times New Roman"/>
          <w:sz w:val="24"/>
          <w:szCs w:val="24"/>
          <w:lang w:val="en-GB"/>
        </w:rPr>
        <w:t xml:space="preserve"> are generated by a MA(2) process, all terms for which </w:t>
      </w:r>
      <m:oMath>
        <m:d>
          <m:dPr>
            <m:begChr m:val="|"/>
            <m:endChr m:val="|"/>
            <m:ctrlPr>
              <w:rPr>
                <w:rFonts w:ascii="Cambria Math" w:hAnsi="Cambria Math" w:cs="Times New Roman"/>
                <w:i/>
                <w:sz w:val="24"/>
                <w:szCs w:val="24"/>
                <w:lang w:val="en-GB"/>
              </w:rPr>
            </m:ctrlPr>
          </m:dPr>
          <m:e>
            <m:r>
              <w:rPr>
                <w:rFonts w:ascii="Cambria Math" w:hAnsi="Cambria Math" w:cs="Times New Roman"/>
                <w:sz w:val="24"/>
                <w:szCs w:val="24"/>
                <w:lang w:val="en-GB"/>
              </w:rPr>
              <m:t>h</m:t>
            </m:r>
          </m:e>
        </m:d>
        <m:r>
          <w:rPr>
            <w:rFonts w:ascii="Cambria Math" w:hAnsi="Cambria Math" w:cs="Times New Roman"/>
            <w:sz w:val="24"/>
            <w:szCs w:val="24"/>
            <w:lang w:val="en-GB"/>
          </w:rPr>
          <m:t>&gt;2</m:t>
        </m:r>
      </m:oMath>
      <w:r w:rsidRPr="007D2E18">
        <w:rPr>
          <w:rFonts w:ascii="Times New Roman" w:hAnsi="Times New Roman" w:cs="Times New Roman"/>
          <w:sz w:val="24"/>
          <w:szCs w:val="24"/>
          <w:lang w:val="en-GB"/>
        </w:rPr>
        <w:t xml:space="preserve"> must be zero. The Newey-West estimator operates here in three ways. First,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ts</m:t>
            </m:r>
          </m:sub>
        </m:sSub>
      </m:oMath>
      <w:r w:rsidRPr="007D2E18">
        <w:rPr>
          <w:rFonts w:ascii="Times New Roman" w:hAnsi="Times New Roman" w:cs="Times New Roman"/>
          <w:sz w:val="24"/>
          <w:szCs w:val="24"/>
          <w:lang w:val="en-GB"/>
        </w:rPr>
        <w:t xml:space="preserve"> is replaced by </w:t>
      </w:r>
      <m:oMath>
        <m:sSub>
          <m:sSubPr>
            <m:ctrlPr>
              <w:rPr>
                <w:rFonts w:ascii="Cambria Math" w:hAnsi="Cambria Math" w:cs="Times New Roman"/>
                <w:i/>
                <w:iCs/>
                <w:sz w:val="24"/>
                <w:szCs w:val="24"/>
                <w:lang w:val="en-GB"/>
              </w:rPr>
            </m:ctrlPr>
          </m:sSubPr>
          <m:e>
            <m:acc>
              <m:accPr>
                <m:ctrlPr>
                  <w:rPr>
                    <w:rFonts w:ascii="Cambria Math" w:hAnsi="Cambria Math" w:cs="Times New Roman"/>
                    <w:i/>
                    <w:iCs/>
                    <w:sz w:val="24"/>
                    <w:szCs w:val="24"/>
                    <w:lang w:val="en-GB"/>
                  </w:rPr>
                </m:ctrlPr>
              </m:accPr>
              <m:e>
                <m:r>
                  <w:rPr>
                    <w:rFonts w:ascii="Cambria Math" w:hAnsi="Cambria Math" w:cs="Times New Roman"/>
                    <w:sz w:val="24"/>
                    <w:szCs w:val="24"/>
                    <w:lang w:val="en-GB"/>
                  </w:rPr>
                  <m:t>ε</m:t>
                </m:r>
              </m:e>
            </m:acc>
          </m:e>
          <m:sub>
            <m:r>
              <w:rPr>
                <w:rFonts w:ascii="Cambria Math" w:hAnsi="Cambria Math" w:cs="Times New Roman"/>
                <w:sz w:val="24"/>
                <w:szCs w:val="24"/>
                <w:lang w:val="en-GB"/>
              </w:rPr>
              <m:t>t</m:t>
            </m:r>
          </m:sub>
        </m:sSub>
        <m:sSub>
          <m:sSubPr>
            <m:ctrlPr>
              <w:rPr>
                <w:rFonts w:ascii="Cambria Math" w:hAnsi="Cambria Math" w:cs="Times New Roman"/>
                <w:i/>
                <w:iCs/>
                <w:sz w:val="24"/>
                <w:szCs w:val="24"/>
                <w:lang w:val="en-GB"/>
              </w:rPr>
            </m:ctrlPr>
          </m:sSubPr>
          <m:e>
            <m:acc>
              <m:accPr>
                <m:ctrlPr>
                  <w:rPr>
                    <w:rFonts w:ascii="Cambria Math" w:hAnsi="Cambria Math" w:cs="Times New Roman"/>
                    <w:i/>
                    <w:iCs/>
                    <w:sz w:val="24"/>
                    <w:szCs w:val="24"/>
                    <w:lang w:val="en-GB"/>
                  </w:rPr>
                </m:ctrlPr>
              </m:accPr>
              <m:e>
                <m:r>
                  <w:rPr>
                    <w:rFonts w:ascii="Cambria Math" w:hAnsi="Cambria Math" w:cs="Times New Roman"/>
                    <w:sz w:val="24"/>
                    <w:szCs w:val="24"/>
                    <w:lang w:val="en-GB"/>
                  </w:rPr>
                  <m:t>ε</m:t>
                </m:r>
              </m:e>
            </m:acc>
          </m:e>
          <m:sub>
            <m:r>
              <w:rPr>
                <w:rFonts w:ascii="Cambria Math" w:hAnsi="Cambria Math" w:cs="Times New Roman"/>
                <w:sz w:val="24"/>
                <w:szCs w:val="24"/>
                <w:lang w:val="en-GB"/>
              </w:rPr>
              <m:t>s</m:t>
            </m:r>
          </m:sub>
        </m:sSub>
      </m:oMath>
      <w:r w:rsidRPr="007D2E18">
        <w:rPr>
          <w:rFonts w:ascii="Times New Roman" w:hAnsi="Times New Roman" w:cs="Times New Roman"/>
          <w:sz w:val="24"/>
          <w:szCs w:val="24"/>
          <w:lang w:val="en-GB"/>
        </w:rPr>
        <w:t xml:space="preserve"> where </w:t>
      </w:r>
      <m:oMath>
        <m:r>
          <w:rPr>
            <w:rFonts w:ascii="Cambria Math" w:hAnsi="Cambria Math" w:cs="Times New Roman"/>
            <w:sz w:val="24"/>
            <w:szCs w:val="24"/>
            <w:lang w:val="en-GB"/>
          </w:rPr>
          <m:t>s=t-h</m:t>
        </m:r>
      </m:oMath>
      <w:r w:rsidRPr="007D2E18">
        <w:rPr>
          <w:rFonts w:ascii="Times New Roman" w:hAnsi="Times New Roman" w:cs="Times New Roman"/>
          <w:sz w:val="24"/>
          <w:szCs w:val="24"/>
          <w:lang w:val="en-GB"/>
        </w:rPr>
        <w:t xml:space="preserve"> and </w:t>
      </w:r>
      <m:oMath>
        <m:sSub>
          <m:sSubPr>
            <m:ctrlPr>
              <w:rPr>
                <w:rFonts w:ascii="Cambria Math" w:hAnsi="Cambria Math" w:cs="Times New Roman"/>
                <w:i/>
                <w:iCs/>
                <w:sz w:val="24"/>
                <w:szCs w:val="24"/>
                <w:lang w:val="en-GB"/>
              </w:rPr>
            </m:ctrlPr>
          </m:sSubPr>
          <m:e>
            <m:acc>
              <m:accPr>
                <m:ctrlPr>
                  <w:rPr>
                    <w:rFonts w:ascii="Cambria Math" w:hAnsi="Cambria Math" w:cs="Times New Roman"/>
                    <w:i/>
                    <w:iCs/>
                    <w:sz w:val="24"/>
                    <w:szCs w:val="24"/>
                    <w:lang w:val="en-GB"/>
                  </w:rPr>
                </m:ctrlPr>
              </m:accPr>
              <m:e>
                <m:r>
                  <w:rPr>
                    <w:rFonts w:ascii="Cambria Math" w:hAnsi="Cambria Math" w:cs="Times New Roman"/>
                    <w:sz w:val="24"/>
                    <w:szCs w:val="24"/>
                    <w:lang w:val="en-GB"/>
                  </w:rPr>
                  <m:t>ε</m:t>
                </m:r>
              </m:e>
            </m:acc>
          </m:e>
          <m:sub>
            <m:r>
              <w:rPr>
                <w:rFonts w:ascii="Cambria Math" w:hAnsi="Cambria Math" w:cs="Times New Roman"/>
                <w:sz w:val="24"/>
                <w:szCs w:val="24"/>
                <w:lang w:val="en-GB"/>
              </w:rPr>
              <m:t>t</m:t>
            </m:r>
          </m:sub>
        </m:sSub>
      </m:oMath>
      <w:r w:rsidRPr="007D2E18">
        <w:rPr>
          <w:rFonts w:ascii="Times New Roman" w:hAnsi="Times New Roman" w:cs="Times New Roman"/>
          <w:sz w:val="24"/>
          <w:szCs w:val="24"/>
          <w:lang w:val="en-GB"/>
        </w:rPr>
        <w:t xml:space="preserve"> are the residuals obtained with ordinary least squares. Second, the issue of how many autocovariances to include is latent. To determine this bandwidth, assume that </w:t>
      </w: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t</m:t>
            </m:r>
          </m:sub>
        </m:sSub>
      </m:oMath>
      <w:r w:rsidRPr="007D2E18">
        <w:rPr>
          <w:rFonts w:ascii="Times New Roman" w:hAnsi="Times New Roman" w:cs="Times New Roman"/>
          <w:sz w:val="24"/>
          <w:szCs w:val="24"/>
          <w:lang w:val="en-GB"/>
        </w:rPr>
        <w:t xml:space="preserve"> follows an MA(</w:t>
      </w:r>
      <m:oMath>
        <m:r>
          <m:rPr>
            <m:scr m:val="script"/>
          </m:rPr>
          <w:rPr>
            <w:rFonts w:ascii="Cambria Math" w:hAnsi="Cambria Math" w:cs="Times New Roman"/>
            <w:sz w:val="24"/>
            <w:szCs w:val="24"/>
            <w:lang w:val="en-GB"/>
          </w:rPr>
          <m:t>L</m:t>
        </m:r>
      </m:oMath>
      <w:r w:rsidRPr="007D2E18">
        <w:rPr>
          <w:rFonts w:ascii="Times New Roman" w:hAnsi="Times New Roman" w:cs="Times New Roman"/>
          <w:sz w:val="24"/>
          <w:szCs w:val="24"/>
          <w:lang w:val="en-GB"/>
        </w:rPr>
        <w:t xml:space="preserve">) process, and so, the autocovariances to include should not exceed </w:t>
      </w:r>
      <m:oMath>
        <m:r>
          <m:rPr>
            <m:scr m:val="script"/>
          </m:rPr>
          <w:rPr>
            <w:rFonts w:ascii="Cambria Math" w:hAnsi="Cambria Math" w:cs="Times New Roman"/>
            <w:sz w:val="24"/>
            <w:szCs w:val="24"/>
            <w:lang w:val="en-GB"/>
          </w:rPr>
          <m:t>L</m:t>
        </m:r>
      </m:oMath>
      <w:r w:rsidRPr="007D2E18">
        <w:rPr>
          <w:rFonts w:ascii="Times New Roman" w:hAnsi="Times New Roman" w:cs="Times New Roman"/>
          <w:sz w:val="24"/>
          <w:szCs w:val="24"/>
          <w:lang w:val="en-GB"/>
        </w:rPr>
        <w:t xml:space="preserve">. Considering the frequency of our series, we set our baseline estimates with a bandwidth of six in oil price series (to control for possible seasonality), and one for the geopolitical risk measures. Finally, the Newey-West estimator introduces the </w:t>
      </w:r>
      <w:r w:rsidRPr="007D2E18">
        <w:rPr>
          <w:rFonts w:ascii="Times New Roman" w:hAnsi="Times New Roman" w:cs="Times New Roman"/>
          <w:sz w:val="24"/>
          <w:szCs w:val="24"/>
          <w:lang w:val="en-GB"/>
        </w:rPr>
        <w:lastRenderedPageBreak/>
        <w:t xml:space="preserve">weights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w</m:t>
            </m:r>
          </m:e>
          <m:sub>
            <m:r>
              <w:rPr>
                <w:rFonts w:ascii="Cambria Math" w:hAnsi="Cambria Math" w:cs="Times New Roman"/>
                <w:sz w:val="24"/>
                <w:szCs w:val="24"/>
                <w:lang w:val="en-GB"/>
              </w:rPr>
              <m:t>h</m:t>
            </m:r>
          </m:sub>
        </m:sSub>
      </m:oMath>
      <w:r w:rsidRPr="007D2E18">
        <w:rPr>
          <w:rFonts w:ascii="Times New Roman" w:hAnsi="Times New Roman" w:cs="Times New Roman"/>
          <w:sz w:val="24"/>
          <w:szCs w:val="24"/>
          <w:lang w:val="en-GB"/>
        </w:rPr>
        <w:t xml:space="preserve"> on the products </w:t>
      </w:r>
      <m:oMath>
        <m:sSub>
          <m:sSubPr>
            <m:ctrlPr>
              <w:rPr>
                <w:rFonts w:ascii="Cambria Math" w:hAnsi="Cambria Math" w:cs="Times New Roman"/>
                <w:i/>
                <w:iCs/>
                <w:sz w:val="24"/>
                <w:szCs w:val="24"/>
                <w:lang w:val="en-GB"/>
              </w:rPr>
            </m:ctrlPr>
          </m:sSubPr>
          <m:e>
            <m:acc>
              <m:accPr>
                <m:ctrlPr>
                  <w:rPr>
                    <w:rFonts w:ascii="Cambria Math" w:hAnsi="Cambria Math" w:cs="Times New Roman"/>
                    <w:i/>
                    <w:iCs/>
                    <w:sz w:val="24"/>
                    <w:szCs w:val="24"/>
                    <w:lang w:val="en-GB"/>
                  </w:rPr>
                </m:ctrlPr>
              </m:accPr>
              <m:e>
                <m:r>
                  <w:rPr>
                    <w:rFonts w:ascii="Cambria Math" w:hAnsi="Cambria Math" w:cs="Times New Roman"/>
                    <w:sz w:val="24"/>
                    <w:szCs w:val="24"/>
                    <w:lang w:val="en-GB"/>
                  </w:rPr>
                  <m:t>ε</m:t>
                </m:r>
              </m:e>
            </m:acc>
          </m:e>
          <m:sub>
            <m:r>
              <w:rPr>
                <w:rFonts w:ascii="Cambria Math" w:hAnsi="Cambria Math" w:cs="Times New Roman"/>
                <w:sz w:val="24"/>
                <w:szCs w:val="24"/>
                <w:lang w:val="en-GB"/>
              </w:rPr>
              <m:t>t</m:t>
            </m:r>
          </m:sub>
        </m:sSub>
        <m:sSub>
          <m:sSubPr>
            <m:ctrlPr>
              <w:rPr>
                <w:rFonts w:ascii="Cambria Math" w:hAnsi="Cambria Math" w:cs="Times New Roman"/>
                <w:i/>
                <w:iCs/>
                <w:sz w:val="24"/>
                <w:szCs w:val="24"/>
                <w:lang w:val="en-GB"/>
              </w:rPr>
            </m:ctrlPr>
          </m:sSubPr>
          <m:e>
            <m:acc>
              <m:accPr>
                <m:ctrlPr>
                  <w:rPr>
                    <w:rFonts w:ascii="Cambria Math" w:hAnsi="Cambria Math" w:cs="Times New Roman"/>
                    <w:i/>
                    <w:iCs/>
                    <w:sz w:val="24"/>
                    <w:szCs w:val="24"/>
                    <w:lang w:val="en-GB"/>
                  </w:rPr>
                </m:ctrlPr>
              </m:accPr>
              <m:e>
                <m:r>
                  <w:rPr>
                    <w:rFonts w:ascii="Cambria Math" w:hAnsi="Cambria Math" w:cs="Times New Roman"/>
                    <w:sz w:val="24"/>
                    <w:szCs w:val="24"/>
                    <w:lang w:val="en-GB"/>
                  </w:rPr>
                  <m:t>ε</m:t>
                </m:r>
              </m:e>
            </m:acc>
          </m:e>
          <m:sub>
            <m:r>
              <w:rPr>
                <w:rFonts w:ascii="Cambria Math" w:hAnsi="Cambria Math" w:cs="Times New Roman"/>
                <w:sz w:val="24"/>
                <w:szCs w:val="24"/>
                <w:lang w:val="en-GB"/>
              </w:rPr>
              <m:t>s</m:t>
            </m:r>
          </m:sub>
        </m:sSub>
      </m:oMath>
      <w:r w:rsidRPr="007D2E18">
        <w:rPr>
          <w:rFonts w:ascii="Times New Roman" w:hAnsi="Times New Roman" w:cs="Times New Roman"/>
          <w:sz w:val="24"/>
          <w:szCs w:val="24"/>
          <w:lang w:val="en-GB"/>
        </w:rPr>
        <w:t xml:space="preserve">, with </w:t>
      </w:r>
      <m:oMath>
        <m:r>
          <w:rPr>
            <w:rFonts w:ascii="Cambria Math" w:hAnsi="Cambria Math" w:cs="Times New Roman"/>
            <w:sz w:val="24"/>
            <w:szCs w:val="24"/>
            <w:lang w:val="en-GB"/>
          </w:rPr>
          <m:t>s=t-h</m:t>
        </m:r>
      </m:oMath>
      <w:r w:rsidRPr="007D2E18">
        <w:rPr>
          <w:rFonts w:ascii="Times New Roman" w:hAnsi="Times New Roman" w:cs="Times New Roman"/>
          <w:sz w:val="24"/>
          <w:szCs w:val="24"/>
          <w:lang w:val="en-GB"/>
        </w:rPr>
        <w:t>, ensuring that the variance matrix is positive definite. These weights are calculated using the Bartlett window, and are of the shape</w:t>
      </w:r>
      <w:r w:rsidR="00611D66" w:rsidRPr="007D2E18">
        <w:rPr>
          <w:rFonts w:ascii="Times New Roman" w:hAnsi="Times New Roman" w:cs="Times New Roman"/>
          <w:sz w:val="24"/>
          <w:szCs w:val="24"/>
          <w:lang w:val="en-GB"/>
        </w:rPr>
        <w:t xml:space="preserv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w</m:t>
            </m:r>
          </m:e>
          <m:sub>
            <m:r>
              <w:rPr>
                <w:rFonts w:ascii="Cambria Math" w:hAnsi="Cambria Math" w:cs="Times New Roman"/>
                <w:sz w:val="24"/>
                <w:szCs w:val="24"/>
                <w:lang w:val="en-GB"/>
              </w:rPr>
              <m:t>h</m:t>
            </m:r>
          </m:sub>
        </m:sSub>
        <m:r>
          <w:rPr>
            <w:rFonts w:ascii="Cambria Math" w:hAnsi="Cambria Math" w:cs="Times New Roman"/>
            <w:sz w:val="24"/>
            <w:szCs w:val="24"/>
            <w:lang w:val="en-GB"/>
          </w:rPr>
          <m:t>=1-</m:t>
        </m:r>
        <m:d>
          <m:dPr>
            <m:begChr m:val="["/>
            <m:endChr m:val="]"/>
            <m:ctrlPr>
              <w:rPr>
                <w:rFonts w:ascii="Cambria Math" w:hAnsi="Cambria Math" w:cs="Times New Roman"/>
                <w:i/>
                <w:sz w:val="24"/>
                <w:szCs w:val="24"/>
                <w:lang w:val="en-GB"/>
              </w:rPr>
            </m:ctrlPr>
          </m:dPr>
          <m:e>
            <m:r>
              <w:rPr>
                <w:rFonts w:ascii="Cambria Math" w:hAnsi="Cambria Math" w:cs="Times New Roman"/>
                <w:sz w:val="24"/>
                <w:szCs w:val="24"/>
                <w:lang w:val="en-GB"/>
              </w:rPr>
              <m:t>h/</m:t>
            </m:r>
            <m:d>
              <m:dPr>
                <m:ctrlPr>
                  <w:rPr>
                    <w:rFonts w:ascii="Cambria Math" w:hAnsi="Cambria Math" w:cs="Times New Roman"/>
                    <w:i/>
                    <w:sz w:val="24"/>
                    <w:szCs w:val="24"/>
                    <w:lang w:val="en-GB"/>
                  </w:rPr>
                </m:ctrlPr>
              </m:dPr>
              <m:e>
                <m:r>
                  <m:rPr>
                    <m:scr m:val="script"/>
                  </m:rPr>
                  <w:rPr>
                    <w:rFonts w:ascii="Cambria Math" w:hAnsi="Cambria Math" w:cs="Times New Roman"/>
                    <w:sz w:val="24"/>
                    <w:szCs w:val="24"/>
                    <w:lang w:val="en-GB"/>
                  </w:rPr>
                  <m:t>L</m:t>
                </m:r>
                <m:r>
                  <w:rPr>
                    <w:rFonts w:ascii="Cambria Math" w:hAnsi="Cambria Math" w:cs="Times New Roman"/>
                    <w:sz w:val="24"/>
                    <w:szCs w:val="24"/>
                    <w:lang w:val="en-GB"/>
                  </w:rPr>
                  <m:t>+1</m:t>
                </m:r>
              </m:e>
            </m:d>
          </m:e>
        </m:d>
      </m:oMath>
      <w:r w:rsidRPr="007D2E18">
        <w:rPr>
          <w:rFonts w:ascii="Times New Roman" w:hAnsi="Times New Roman" w:cs="Times New Roman"/>
          <w:sz w:val="24"/>
          <w:szCs w:val="24"/>
          <w:lang w:val="en-GB"/>
        </w:rPr>
        <w:t xml:space="preserve"> for </w:t>
      </w:r>
      <m:oMath>
        <m:r>
          <w:rPr>
            <w:rFonts w:ascii="Cambria Math" w:hAnsi="Cambria Math" w:cs="Times New Roman"/>
            <w:sz w:val="24"/>
            <w:szCs w:val="24"/>
            <w:lang w:val="en-GB"/>
          </w:rPr>
          <m:t>h</m:t>
        </m:r>
        <m:r>
          <w:rPr>
            <w:rFonts w:ascii="Cambria Math" w:eastAsiaTheme="minorEastAsia" w:hAnsi="Cambria Math" w:cs="Times New Roman"/>
            <w:sz w:val="24"/>
            <w:szCs w:val="24"/>
            <w:lang w:val="en-GB"/>
          </w:rPr>
          <m:t>=1,...,</m:t>
        </m:r>
        <m:r>
          <m:rPr>
            <m:scr m:val="script"/>
          </m:rPr>
          <w:rPr>
            <w:rFonts w:ascii="Cambria Math" w:hAnsi="Cambria Math" w:cs="Times New Roman"/>
            <w:sz w:val="24"/>
            <w:szCs w:val="24"/>
            <w:lang w:val="en-GB"/>
          </w:rPr>
          <m:t>L</m:t>
        </m:r>
      </m:oMath>
      <w:r w:rsidRPr="007D2E18">
        <w:rPr>
          <w:rFonts w:ascii="Times New Roman" w:hAnsi="Times New Roman" w:cs="Times New Roman"/>
          <w:sz w:val="24"/>
          <w:szCs w:val="24"/>
          <w:lang w:val="en-GB"/>
        </w:rPr>
        <w:t>. Thus, the weights decline from</w:t>
      </w:r>
      <w:r w:rsidR="00611D66" w:rsidRPr="007D2E18">
        <w:rPr>
          <w:rFonts w:ascii="Times New Roman" w:hAnsi="Times New Roman" w:cs="Times New Roman"/>
          <w:sz w:val="24"/>
          <w:szCs w:val="24"/>
          <w:lang w:val="en-GB"/>
        </w:rPr>
        <w:t xml:space="preserve"> </w:t>
      </w:r>
      <m:oMath>
        <m:r>
          <m:rPr>
            <m:scr m:val="script"/>
          </m:rPr>
          <w:rPr>
            <w:rFonts w:ascii="Cambria Math" w:hAnsi="Cambria Math" w:cs="Times New Roman"/>
            <w:sz w:val="24"/>
            <w:szCs w:val="24"/>
            <w:lang w:val="en-GB"/>
          </w:rPr>
          <m:t>L/</m:t>
        </m:r>
        <m:d>
          <m:dPr>
            <m:ctrlPr>
              <w:rPr>
                <w:rFonts w:ascii="Cambria Math" w:hAnsi="Cambria Math" w:cs="Times New Roman"/>
                <w:i/>
                <w:iCs/>
                <w:sz w:val="24"/>
                <w:szCs w:val="24"/>
                <w:lang w:val="en-GB"/>
              </w:rPr>
            </m:ctrlPr>
          </m:dPr>
          <m:e>
            <m:r>
              <m:rPr>
                <m:scr m:val="script"/>
              </m:rPr>
              <w:rPr>
                <w:rFonts w:ascii="Cambria Math" w:hAnsi="Cambria Math" w:cs="Times New Roman"/>
                <w:sz w:val="24"/>
                <w:szCs w:val="24"/>
                <w:lang w:val="en-GB"/>
              </w:rPr>
              <m:t>L</m:t>
            </m:r>
            <m:r>
              <w:rPr>
                <w:rFonts w:ascii="Cambria Math" w:hAnsi="Cambria Math" w:cs="Times New Roman"/>
                <w:sz w:val="24"/>
                <w:szCs w:val="24"/>
                <w:lang w:val="en-GB"/>
              </w:rPr>
              <m:t>+1</m:t>
            </m:r>
          </m:e>
        </m:d>
      </m:oMath>
      <w:r w:rsidRPr="007D2E18">
        <w:rPr>
          <w:rFonts w:ascii="Times New Roman" w:hAnsi="Times New Roman" w:cs="Times New Roman"/>
          <w:sz w:val="24"/>
          <w:szCs w:val="24"/>
          <w:lang w:val="en-GB"/>
        </w:rPr>
        <w:t xml:space="preserve"> to </w:t>
      </w:r>
      <m:oMath>
        <m:r>
          <w:rPr>
            <w:rFonts w:ascii="Cambria Math" w:hAnsi="Cambria Math" w:cs="Times New Roman"/>
            <w:sz w:val="24"/>
            <w:szCs w:val="24"/>
            <w:lang w:val="en-GB"/>
          </w:rPr>
          <m:t>1/</m:t>
        </m:r>
        <m:d>
          <m:dPr>
            <m:ctrlPr>
              <w:rPr>
                <w:rFonts w:ascii="Cambria Math" w:hAnsi="Cambria Math" w:cs="Times New Roman"/>
                <w:i/>
                <w:iCs/>
                <w:sz w:val="24"/>
                <w:szCs w:val="24"/>
                <w:lang w:val="en-GB"/>
              </w:rPr>
            </m:ctrlPr>
          </m:dPr>
          <m:e>
            <m:r>
              <m:rPr>
                <m:scr m:val="script"/>
              </m:rPr>
              <w:rPr>
                <w:rFonts w:ascii="Cambria Math" w:hAnsi="Cambria Math" w:cs="Times New Roman"/>
                <w:sz w:val="24"/>
                <w:szCs w:val="24"/>
                <w:lang w:val="en-GB"/>
              </w:rPr>
              <m:t>L</m:t>
            </m:r>
            <m:r>
              <w:rPr>
                <w:rFonts w:ascii="Cambria Math" w:hAnsi="Cambria Math" w:cs="Times New Roman"/>
                <w:sz w:val="24"/>
                <w:szCs w:val="24"/>
                <w:lang w:val="en-GB"/>
              </w:rPr>
              <m:t>+1</m:t>
            </m:r>
          </m:e>
        </m:d>
      </m:oMath>
      <w:r w:rsidRPr="007D2E18">
        <w:rPr>
          <w:rFonts w:ascii="Times New Roman" w:hAnsi="Times New Roman" w:cs="Times New Roman"/>
          <w:sz w:val="24"/>
          <w:szCs w:val="24"/>
          <w:lang w:val="en-GB"/>
        </w:rPr>
        <w:t xml:space="preserve">. With these three considerations, the Newey-West estimator of </w:t>
      </w:r>
      <m:oMath>
        <m:r>
          <m:rPr>
            <m:scr m:val="double-struck"/>
            <m:sty m:val="p"/>
          </m:rPr>
          <w:rPr>
            <w:rFonts w:ascii="Cambria Math" w:hAnsi="Cambria Math" w:cs="Times New Roman"/>
            <w:sz w:val="24"/>
            <w:szCs w:val="24"/>
            <w:lang w:val="en-GB"/>
          </w:rPr>
          <m:t>E</m:t>
        </m:r>
        <m:d>
          <m:dPr>
            <m:begChr m:val="["/>
            <m:endChr m:val="]"/>
            <m:ctrlPr>
              <w:rPr>
                <w:rFonts w:ascii="Cambria Math" w:hAnsi="Cambria Math" w:cs="Times New Roman"/>
                <w:iCs/>
                <w:sz w:val="24"/>
                <w:szCs w:val="24"/>
                <w:lang w:val="en-GB"/>
              </w:rPr>
            </m:ctrlPr>
          </m:dPr>
          <m:e>
            <m:r>
              <m:rPr>
                <m:sty m:val="b"/>
              </m:rPr>
              <w:rPr>
                <w:rFonts w:ascii="Cambria Math" w:hAnsi="Cambria Math" w:cs="Times New Roman"/>
                <w:sz w:val="24"/>
                <w:szCs w:val="24"/>
                <w:lang w:val="en-GB"/>
              </w:rPr>
              <m:t>X'εε'X</m:t>
            </m:r>
            <m:r>
              <w:rPr>
                <w:rFonts w:ascii="Cambria Math" w:hAnsi="Cambria Math" w:cs="Times New Roman"/>
                <w:sz w:val="24"/>
                <w:szCs w:val="24"/>
                <w:lang w:val="en-GB"/>
              </w:rPr>
              <m:t>|</m:t>
            </m:r>
            <m:r>
              <m:rPr>
                <m:sty m:val="b"/>
              </m:rPr>
              <w:rPr>
                <w:rFonts w:ascii="Cambria Math" w:hAnsi="Cambria Math" w:cs="Times New Roman"/>
                <w:sz w:val="24"/>
                <w:szCs w:val="24"/>
                <w:lang w:val="en-GB"/>
              </w:rPr>
              <m:t>X</m:t>
            </m:r>
          </m:e>
        </m:d>
      </m:oMath>
      <w:r w:rsidRPr="007D2E18">
        <w:rPr>
          <w:rFonts w:ascii="Times New Roman" w:hAnsi="Times New Roman" w:cs="Times New Roman"/>
          <w:sz w:val="24"/>
          <w:szCs w:val="24"/>
          <w:lang w:val="en-GB"/>
        </w:rPr>
        <w:t xml:space="preserve"> is:</w:t>
      </w:r>
    </w:p>
    <w:p w14:paraId="7A5E7897" w14:textId="743E389B" w:rsidR="00644DAD" w:rsidRPr="007D2E18" w:rsidRDefault="00644DAD" w:rsidP="00A456AE">
      <w:pPr>
        <w:spacing w:after="0" w:line="240" w:lineRule="auto"/>
        <w:jc w:val="both"/>
        <w:rPr>
          <w:rFonts w:ascii="Times New Roman" w:hAnsi="Times New Roman" w:cs="Times New Roman"/>
          <w:sz w:val="24"/>
          <w:szCs w:val="24"/>
          <w:lang w:val="en-GB"/>
        </w:rPr>
      </w:pPr>
    </w:p>
    <w:p w14:paraId="120E9B48" w14:textId="75B8C087" w:rsidR="00644DAD" w:rsidRPr="007D2E18" w:rsidRDefault="000C0297" w:rsidP="00A456AE">
      <w:pPr>
        <w:spacing w:after="0" w:line="240" w:lineRule="auto"/>
        <w:jc w:val="both"/>
        <w:rPr>
          <w:rFonts w:ascii="Times New Roman" w:hAnsi="Times New Roman" w:cs="Times New Roman"/>
          <w:sz w:val="24"/>
          <w:szCs w:val="24"/>
          <w:lang w:val="en-GB"/>
        </w:rPr>
      </w:pPr>
      <m:oMath>
        <m:acc>
          <m:accPr>
            <m:ctrlPr>
              <w:rPr>
                <w:rFonts w:ascii="Cambria Math" w:hAnsi="Cambria Math" w:cs="Times New Roman"/>
                <w:b/>
                <w:bCs/>
                <w:sz w:val="24"/>
                <w:szCs w:val="24"/>
                <w:lang w:val="en-GB"/>
              </w:rPr>
            </m:ctrlPr>
          </m:accPr>
          <m:e>
            <m:r>
              <m:rPr>
                <m:sty m:val="b"/>
              </m:rPr>
              <w:rPr>
                <w:rFonts w:ascii="Cambria Math" w:hAnsi="Cambria Math" w:cs="Times New Roman"/>
                <w:sz w:val="24"/>
                <w:szCs w:val="24"/>
                <w:lang w:val="en-GB"/>
              </w:rPr>
              <m:t>Ξ</m:t>
            </m:r>
          </m:e>
        </m:acc>
        <m:r>
          <m:rPr>
            <m:sty m:val="bi"/>
          </m:rPr>
          <w:rPr>
            <w:rFonts w:ascii="Cambria Math" w:hAnsi="Cambria Math" w:cs="Times New Roman"/>
            <w:sz w:val="24"/>
            <w:szCs w:val="24"/>
            <w:lang w:val="en-GB"/>
          </w:rPr>
          <m:t>=</m:t>
        </m:r>
        <m:limLow>
          <m:limLowPr>
            <m:ctrlPr>
              <w:rPr>
                <w:rFonts w:ascii="Cambria Math" w:hAnsi="Cambria Math" w:cs="Times New Roman"/>
                <w:b/>
                <w:bCs/>
                <w:i/>
                <w:sz w:val="24"/>
                <w:szCs w:val="24"/>
                <w:lang w:val="en-GB"/>
              </w:rPr>
            </m:ctrlPr>
          </m:limLowPr>
          <m:e>
            <m:groupChr>
              <m:groupChrPr>
                <m:ctrlPr>
                  <w:rPr>
                    <w:rFonts w:ascii="Cambria Math" w:hAnsi="Cambria Math" w:cs="Times New Roman"/>
                    <w:b/>
                    <w:bCs/>
                    <w:i/>
                    <w:sz w:val="24"/>
                    <w:szCs w:val="24"/>
                    <w:lang w:val="en-GB"/>
                  </w:rPr>
                </m:ctrlPr>
              </m:groupChrPr>
              <m:e>
                <m:nary>
                  <m:naryPr>
                    <m:chr m:val="∑"/>
                    <m:limLoc m:val="undOvr"/>
                    <m:ctrlPr>
                      <w:rPr>
                        <w:rFonts w:ascii="Cambria Math" w:hAnsi="Cambria Math" w:cs="Times New Roman"/>
                        <w:b/>
                        <w:bCs/>
                        <w:i/>
                        <w:sz w:val="24"/>
                        <w:szCs w:val="24"/>
                        <w:lang w:val="en-GB"/>
                      </w:rPr>
                    </m:ctrlPr>
                  </m:naryPr>
                  <m:sub>
                    <m:r>
                      <w:rPr>
                        <w:rFonts w:ascii="Cambria Math" w:hAnsi="Cambria Math" w:cs="Times New Roman"/>
                        <w:sz w:val="24"/>
                        <w:szCs w:val="24"/>
                        <w:lang w:val="en-GB"/>
                      </w:rPr>
                      <m:t>t=1</m:t>
                    </m:r>
                  </m:sub>
                  <m:sup>
                    <m:r>
                      <w:rPr>
                        <w:rFonts w:ascii="Cambria Math" w:hAnsi="Cambria Math" w:cs="Times New Roman"/>
                        <w:sz w:val="24"/>
                        <w:szCs w:val="24"/>
                        <w:lang w:val="en-GB"/>
                      </w:rPr>
                      <m:t>T</m:t>
                    </m:r>
                  </m:sup>
                  <m:e>
                    <m:sSubSup>
                      <m:sSubSupPr>
                        <m:ctrlPr>
                          <w:rPr>
                            <w:rFonts w:ascii="Cambria Math" w:hAnsi="Cambria Math" w:cs="Times New Roman"/>
                            <w:i/>
                            <w:iCs/>
                            <w:sz w:val="24"/>
                            <w:szCs w:val="24"/>
                            <w:lang w:val="en-GB"/>
                          </w:rPr>
                        </m:ctrlPr>
                      </m:sSubSupPr>
                      <m:e>
                        <m:acc>
                          <m:accPr>
                            <m:ctrlPr>
                              <w:rPr>
                                <w:rFonts w:ascii="Cambria Math" w:hAnsi="Cambria Math" w:cs="Times New Roman"/>
                                <w:i/>
                                <w:iCs/>
                                <w:sz w:val="24"/>
                                <w:szCs w:val="24"/>
                                <w:lang w:val="en-GB"/>
                              </w:rPr>
                            </m:ctrlPr>
                          </m:accPr>
                          <m:e>
                            <m:r>
                              <w:rPr>
                                <w:rFonts w:ascii="Cambria Math" w:hAnsi="Cambria Math" w:cs="Times New Roman"/>
                                <w:sz w:val="24"/>
                                <w:szCs w:val="24"/>
                                <w:lang w:val="en-GB"/>
                              </w:rPr>
                              <m:t>ε</m:t>
                            </m:r>
                          </m:e>
                        </m:acc>
                      </m:e>
                      <m:sub>
                        <m:r>
                          <w:rPr>
                            <w:rFonts w:ascii="Cambria Math" w:hAnsi="Cambria Math" w:cs="Times New Roman"/>
                            <w:sz w:val="24"/>
                            <w:szCs w:val="24"/>
                            <w:lang w:val="en-GB"/>
                          </w:rPr>
                          <m:t>t</m:t>
                        </m:r>
                      </m:sub>
                      <m:sup>
                        <m:r>
                          <w:rPr>
                            <w:rFonts w:ascii="Cambria Math" w:hAnsi="Cambria Math" w:cs="Times New Roman"/>
                            <w:sz w:val="24"/>
                            <w:szCs w:val="24"/>
                            <w:lang w:val="en-GB"/>
                          </w:rPr>
                          <m:t>2</m:t>
                        </m:r>
                      </m:sup>
                    </m:sSubSup>
                    <m:sSubSup>
                      <m:sSubSupPr>
                        <m:ctrlPr>
                          <w:rPr>
                            <w:rFonts w:ascii="Cambria Math" w:hAnsi="Cambria Math" w:cs="Times New Roman"/>
                            <w:b/>
                            <w:bCs/>
                            <w:i/>
                            <w:sz w:val="24"/>
                            <w:szCs w:val="24"/>
                            <w:lang w:val="en-GB"/>
                          </w:rPr>
                        </m:ctrlPr>
                      </m:sSubSupPr>
                      <m:e>
                        <m:r>
                          <m:rPr>
                            <m:sty m:val="b"/>
                          </m:rPr>
                          <w:rPr>
                            <w:rFonts w:ascii="Cambria Math" w:hAnsi="Cambria Math" w:cs="Times New Roman"/>
                            <w:sz w:val="24"/>
                            <w:szCs w:val="24"/>
                            <w:lang w:val="en-GB"/>
                          </w:rPr>
                          <m:t>X</m:t>
                        </m:r>
                      </m:e>
                      <m:sub>
                        <m:r>
                          <w:rPr>
                            <w:rFonts w:ascii="Cambria Math" w:hAnsi="Cambria Math" w:cs="Times New Roman"/>
                            <w:sz w:val="24"/>
                            <w:szCs w:val="24"/>
                            <w:lang w:val="en-GB"/>
                          </w:rPr>
                          <m:t>t</m:t>
                        </m:r>
                      </m:sub>
                      <m:sup>
                        <m:r>
                          <m:rPr>
                            <m:sty m:val="bi"/>
                          </m:rPr>
                          <w:rPr>
                            <w:rFonts w:ascii="Cambria Math" w:hAnsi="Cambria Math" w:cs="Times New Roman"/>
                            <w:sz w:val="24"/>
                            <w:szCs w:val="24"/>
                            <w:lang w:val="en-GB"/>
                          </w:rPr>
                          <m:t>'</m:t>
                        </m:r>
                      </m:sup>
                    </m:sSubSup>
                    <m:sSub>
                      <m:sSubPr>
                        <m:ctrlPr>
                          <w:rPr>
                            <w:rFonts w:ascii="Cambria Math" w:hAnsi="Cambria Math" w:cs="Times New Roman"/>
                            <w:b/>
                            <w:bCs/>
                            <w:i/>
                            <w:sz w:val="24"/>
                            <w:szCs w:val="24"/>
                            <w:lang w:val="en-GB"/>
                          </w:rPr>
                        </m:ctrlPr>
                      </m:sSubPr>
                      <m:e>
                        <m:r>
                          <m:rPr>
                            <m:sty m:val="b"/>
                          </m:rPr>
                          <w:rPr>
                            <w:rFonts w:ascii="Cambria Math" w:hAnsi="Cambria Math" w:cs="Times New Roman"/>
                            <w:sz w:val="24"/>
                            <w:szCs w:val="24"/>
                            <w:lang w:val="en-GB"/>
                          </w:rPr>
                          <m:t>X</m:t>
                        </m:r>
                      </m:e>
                      <m:sub>
                        <m:r>
                          <w:rPr>
                            <w:rFonts w:ascii="Cambria Math" w:hAnsi="Cambria Math" w:cs="Times New Roman"/>
                            <w:sz w:val="24"/>
                            <w:szCs w:val="24"/>
                            <w:lang w:val="en-GB"/>
                          </w:rPr>
                          <m:t>t</m:t>
                        </m:r>
                      </m:sub>
                    </m:sSub>
                  </m:e>
                </m:nary>
              </m:e>
            </m:groupChr>
          </m:e>
          <m:lim>
            <m:r>
              <w:rPr>
                <w:rFonts w:ascii="Cambria Math" w:hAnsi="Cambria Math" w:cs="Times New Roman"/>
                <w:sz w:val="24"/>
                <w:szCs w:val="24"/>
                <w:lang w:val="en-GB"/>
              </w:rPr>
              <m:t>heteroskedasticity adjustment</m:t>
            </m:r>
          </m:lim>
        </m:limLow>
        <m:r>
          <m:rPr>
            <m:sty m:val="bi"/>
          </m:rPr>
          <w:rPr>
            <w:rFonts w:ascii="Cambria Math" w:hAnsi="Cambria Math" w:cs="Times New Roman"/>
            <w:sz w:val="24"/>
            <w:szCs w:val="24"/>
            <w:lang w:val="en-GB"/>
          </w:rPr>
          <m:t>+</m:t>
        </m:r>
        <m:limLow>
          <m:limLowPr>
            <m:ctrlPr>
              <w:rPr>
                <w:rFonts w:ascii="Cambria Math" w:hAnsi="Cambria Math" w:cs="Times New Roman"/>
                <w:b/>
                <w:bCs/>
                <w:i/>
                <w:sz w:val="24"/>
                <w:szCs w:val="24"/>
                <w:lang w:val="en-GB"/>
              </w:rPr>
            </m:ctrlPr>
          </m:limLowPr>
          <m:e>
            <m:groupChr>
              <m:groupChrPr>
                <m:ctrlPr>
                  <w:rPr>
                    <w:rFonts w:ascii="Cambria Math" w:hAnsi="Cambria Math" w:cs="Times New Roman"/>
                    <w:b/>
                    <w:bCs/>
                    <w:i/>
                    <w:sz w:val="24"/>
                    <w:szCs w:val="24"/>
                    <w:lang w:val="en-GB"/>
                  </w:rPr>
                </m:ctrlPr>
              </m:groupChrPr>
              <m:e>
                <m:nary>
                  <m:naryPr>
                    <m:chr m:val="∑"/>
                    <m:limLoc m:val="undOvr"/>
                    <m:ctrlPr>
                      <w:rPr>
                        <w:rFonts w:ascii="Cambria Math" w:hAnsi="Cambria Math" w:cs="Times New Roman"/>
                        <w:b/>
                        <w:bCs/>
                        <w:i/>
                        <w:sz w:val="24"/>
                        <w:szCs w:val="24"/>
                        <w:lang w:val="en-GB"/>
                      </w:rPr>
                    </m:ctrlPr>
                  </m:naryPr>
                  <m:sub>
                    <m:r>
                      <w:rPr>
                        <w:rFonts w:ascii="Cambria Math" w:hAnsi="Cambria Math" w:cs="Times New Roman"/>
                        <w:sz w:val="24"/>
                        <w:szCs w:val="24"/>
                        <w:lang w:val="en-GB"/>
                      </w:rPr>
                      <m:t>h=1</m:t>
                    </m:r>
                  </m:sub>
                  <m:sup>
                    <m:r>
                      <m:rPr>
                        <m:scr m:val="script"/>
                      </m:rPr>
                      <w:rPr>
                        <w:rFonts w:ascii="Cambria Math" w:hAnsi="Cambria Math" w:cs="Times New Roman"/>
                        <w:sz w:val="24"/>
                        <w:szCs w:val="24"/>
                        <w:lang w:val="en-GB"/>
                      </w:rPr>
                      <m:t>L</m:t>
                    </m:r>
                  </m:sup>
                  <m:e>
                    <m:nary>
                      <m:naryPr>
                        <m:chr m:val="∑"/>
                        <m:limLoc m:val="undOvr"/>
                        <m:ctrlPr>
                          <w:rPr>
                            <w:rFonts w:ascii="Cambria Math" w:hAnsi="Cambria Math" w:cs="Times New Roman"/>
                            <w:b/>
                            <w:bCs/>
                            <w:i/>
                            <w:sz w:val="24"/>
                            <w:szCs w:val="24"/>
                            <w:lang w:val="en-GB"/>
                          </w:rPr>
                        </m:ctrlPr>
                      </m:naryPr>
                      <m:sub>
                        <m:r>
                          <w:rPr>
                            <w:rFonts w:ascii="Cambria Math" w:hAnsi="Cambria Math" w:cs="Times New Roman"/>
                            <w:sz w:val="24"/>
                            <w:szCs w:val="24"/>
                            <w:lang w:val="en-GB"/>
                          </w:rPr>
                          <m:t>t=h+</m:t>
                        </m:r>
                        <m:r>
                          <w:rPr>
                            <w:rFonts w:ascii="Cambria Math" w:hAnsi="Cambria Math" w:cs="Times New Roman"/>
                            <w:sz w:val="24"/>
                            <w:szCs w:val="24"/>
                            <w:lang w:val="en-GB"/>
                          </w:rPr>
                          <m:t>1</m:t>
                        </m:r>
                      </m:sub>
                      <m:sup>
                        <m:r>
                          <w:rPr>
                            <w:rFonts w:ascii="Cambria Math" w:hAnsi="Cambria Math" w:cs="Times New Roman"/>
                            <w:sz w:val="24"/>
                            <w:szCs w:val="24"/>
                            <w:lang w:val="en-GB"/>
                          </w:rPr>
                          <m:t>T</m:t>
                        </m:r>
                      </m:sup>
                      <m:e>
                        <m:sSub>
                          <m:sSubPr>
                            <m:ctrlPr>
                              <w:rPr>
                                <w:rFonts w:ascii="Cambria Math" w:hAnsi="Cambria Math" w:cs="Times New Roman"/>
                                <w:i/>
                                <w:iCs/>
                                <w:sz w:val="24"/>
                                <w:szCs w:val="24"/>
                                <w:lang w:val="en-GB"/>
                              </w:rPr>
                            </m:ctrlPr>
                          </m:sSub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w</m:t>
                                </m:r>
                              </m:e>
                              <m:sub>
                                <m:r>
                                  <w:rPr>
                                    <w:rFonts w:ascii="Cambria Math" w:hAnsi="Cambria Math" w:cs="Times New Roman"/>
                                    <w:sz w:val="24"/>
                                    <w:szCs w:val="24"/>
                                    <w:lang w:val="en-GB"/>
                                  </w:rPr>
                                  <m:t>h</m:t>
                                </m:r>
                              </m:sub>
                            </m:sSub>
                            <m:acc>
                              <m:accPr>
                                <m:ctrlPr>
                                  <w:rPr>
                                    <w:rFonts w:ascii="Cambria Math" w:hAnsi="Cambria Math" w:cs="Times New Roman"/>
                                    <w:i/>
                                    <w:iCs/>
                                    <w:sz w:val="24"/>
                                    <w:szCs w:val="24"/>
                                    <w:lang w:val="en-GB"/>
                                  </w:rPr>
                                </m:ctrlPr>
                              </m:accPr>
                              <m:e>
                                <m:r>
                                  <w:rPr>
                                    <w:rFonts w:ascii="Cambria Math" w:hAnsi="Cambria Math" w:cs="Times New Roman"/>
                                    <w:sz w:val="24"/>
                                    <w:szCs w:val="24"/>
                                    <w:lang w:val="en-GB"/>
                                  </w:rPr>
                                  <m:t>ε</m:t>
                                </m:r>
                              </m:e>
                            </m:acc>
                          </m:e>
                          <m:sub>
                            <m:r>
                              <w:rPr>
                                <w:rFonts w:ascii="Cambria Math" w:hAnsi="Cambria Math" w:cs="Times New Roman"/>
                                <w:sz w:val="24"/>
                                <w:szCs w:val="24"/>
                                <w:lang w:val="en-GB"/>
                              </w:rPr>
                              <m:t>t</m:t>
                            </m:r>
                          </m:sub>
                        </m:sSub>
                        <m:sSub>
                          <m:sSubPr>
                            <m:ctrlPr>
                              <w:rPr>
                                <w:rFonts w:ascii="Cambria Math" w:hAnsi="Cambria Math" w:cs="Times New Roman"/>
                                <w:i/>
                                <w:iCs/>
                                <w:sz w:val="24"/>
                                <w:szCs w:val="24"/>
                                <w:lang w:val="en-GB"/>
                              </w:rPr>
                            </m:ctrlPr>
                          </m:sSubPr>
                          <m:e>
                            <m:acc>
                              <m:accPr>
                                <m:ctrlPr>
                                  <w:rPr>
                                    <w:rFonts w:ascii="Cambria Math" w:hAnsi="Cambria Math" w:cs="Times New Roman"/>
                                    <w:i/>
                                    <w:iCs/>
                                    <w:sz w:val="24"/>
                                    <w:szCs w:val="24"/>
                                    <w:lang w:val="en-GB"/>
                                  </w:rPr>
                                </m:ctrlPr>
                              </m:accPr>
                              <m:e>
                                <m:r>
                                  <w:rPr>
                                    <w:rFonts w:ascii="Cambria Math" w:hAnsi="Cambria Math" w:cs="Times New Roman"/>
                                    <w:sz w:val="24"/>
                                    <w:szCs w:val="24"/>
                                    <w:lang w:val="en-GB"/>
                                  </w:rPr>
                                  <m:t>ε</m:t>
                                </m:r>
                              </m:e>
                            </m:acc>
                          </m:e>
                          <m:sub>
                            <m:r>
                              <w:rPr>
                                <w:rFonts w:ascii="Cambria Math" w:hAnsi="Cambria Math" w:cs="Times New Roman"/>
                                <w:sz w:val="24"/>
                                <w:szCs w:val="24"/>
                                <w:lang w:val="en-GB"/>
                              </w:rPr>
                              <m:t>t-h</m:t>
                            </m:r>
                          </m:sub>
                        </m:sSub>
                      </m:e>
                    </m:nary>
                  </m:e>
                </m:nary>
                <m:d>
                  <m:dPr>
                    <m:ctrlPr>
                      <w:rPr>
                        <w:rFonts w:ascii="Cambria Math" w:hAnsi="Cambria Math" w:cs="Times New Roman"/>
                        <w:b/>
                        <w:bCs/>
                        <w:i/>
                        <w:sz w:val="24"/>
                        <w:szCs w:val="24"/>
                        <w:lang w:val="en-GB"/>
                      </w:rPr>
                    </m:ctrlPr>
                  </m:dPr>
                  <m:e>
                    <m:sSubSup>
                      <m:sSubSupPr>
                        <m:ctrlPr>
                          <w:rPr>
                            <w:rFonts w:ascii="Cambria Math" w:hAnsi="Cambria Math" w:cs="Times New Roman"/>
                            <w:b/>
                            <w:bCs/>
                            <w:i/>
                            <w:sz w:val="24"/>
                            <w:szCs w:val="24"/>
                            <w:lang w:val="en-GB"/>
                          </w:rPr>
                        </m:ctrlPr>
                      </m:sSubSupPr>
                      <m:e>
                        <m:r>
                          <m:rPr>
                            <m:sty m:val="b"/>
                          </m:rPr>
                          <w:rPr>
                            <w:rFonts w:ascii="Cambria Math" w:hAnsi="Cambria Math" w:cs="Times New Roman"/>
                            <w:sz w:val="24"/>
                            <w:szCs w:val="24"/>
                            <w:lang w:val="en-GB"/>
                          </w:rPr>
                          <m:t>X</m:t>
                        </m:r>
                      </m:e>
                      <m:sub>
                        <m:r>
                          <w:rPr>
                            <w:rFonts w:ascii="Cambria Math" w:hAnsi="Cambria Math" w:cs="Times New Roman"/>
                            <w:sz w:val="24"/>
                            <w:szCs w:val="24"/>
                            <w:lang w:val="en-GB"/>
                          </w:rPr>
                          <m:t>t</m:t>
                        </m:r>
                      </m:sub>
                      <m:sup>
                        <m:r>
                          <m:rPr>
                            <m:sty m:val="bi"/>
                          </m:rPr>
                          <w:rPr>
                            <w:rFonts w:ascii="Cambria Math" w:hAnsi="Cambria Math" w:cs="Times New Roman"/>
                            <w:sz w:val="24"/>
                            <w:szCs w:val="24"/>
                            <w:lang w:val="en-GB"/>
                          </w:rPr>
                          <m:t>'</m:t>
                        </m:r>
                      </m:sup>
                    </m:sSubSup>
                    <m:sSub>
                      <m:sSubPr>
                        <m:ctrlPr>
                          <w:rPr>
                            <w:rFonts w:ascii="Cambria Math" w:hAnsi="Cambria Math" w:cs="Times New Roman"/>
                            <w:b/>
                            <w:bCs/>
                            <w:i/>
                            <w:sz w:val="24"/>
                            <w:szCs w:val="24"/>
                            <w:lang w:val="en-GB"/>
                          </w:rPr>
                        </m:ctrlPr>
                      </m:sSubPr>
                      <m:e>
                        <m:r>
                          <m:rPr>
                            <m:sty m:val="b"/>
                          </m:rPr>
                          <w:rPr>
                            <w:rFonts w:ascii="Cambria Math" w:hAnsi="Cambria Math" w:cs="Times New Roman"/>
                            <w:sz w:val="24"/>
                            <w:szCs w:val="24"/>
                            <w:lang w:val="en-GB"/>
                          </w:rPr>
                          <m:t>X</m:t>
                        </m:r>
                      </m:e>
                      <m:sub>
                        <m:r>
                          <w:rPr>
                            <w:rFonts w:ascii="Cambria Math" w:hAnsi="Cambria Math" w:cs="Times New Roman"/>
                            <w:sz w:val="24"/>
                            <w:szCs w:val="24"/>
                            <w:lang w:val="en-GB"/>
                          </w:rPr>
                          <m:t>t-h</m:t>
                        </m:r>
                      </m:sub>
                    </m:sSub>
                    <m:r>
                      <m:rPr>
                        <m:sty m:val="bi"/>
                      </m:rPr>
                      <w:rPr>
                        <w:rFonts w:ascii="Cambria Math" w:hAnsi="Cambria Math" w:cs="Times New Roman"/>
                        <w:sz w:val="24"/>
                        <w:szCs w:val="24"/>
                        <w:lang w:val="en-GB"/>
                      </w:rPr>
                      <m:t>+</m:t>
                    </m:r>
                    <m:sSubSup>
                      <m:sSubSupPr>
                        <m:ctrlPr>
                          <w:rPr>
                            <w:rFonts w:ascii="Cambria Math" w:hAnsi="Cambria Math" w:cs="Times New Roman"/>
                            <w:b/>
                            <w:bCs/>
                            <w:i/>
                            <w:sz w:val="24"/>
                            <w:szCs w:val="24"/>
                            <w:lang w:val="en-GB"/>
                          </w:rPr>
                        </m:ctrlPr>
                      </m:sSubSupPr>
                      <m:e>
                        <m:r>
                          <m:rPr>
                            <m:sty m:val="b"/>
                          </m:rPr>
                          <w:rPr>
                            <w:rFonts w:ascii="Cambria Math" w:hAnsi="Cambria Math" w:cs="Times New Roman"/>
                            <w:sz w:val="24"/>
                            <w:szCs w:val="24"/>
                            <w:lang w:val="en-GB"/>
                          </w:rPr>
                          <m:t>X</m:t>
                        </m:r>
                      </m:e>
                      <m:sub>
                        <m:r>
                          <w:rPr>
                            <w:rFonts w:ascii="Cambria Math" w:hAnsi="Cambria Math" w:cs="Times New Roman"/>
                            <w:sz w:val="24"/>
                            <w:szCs w:val="24"/>
                            <w:lang w:val="en-GB"/>
                          </w:rPr>
                          <m:t>t-h</m:t>
                        </m:r>
                      </m:sub>
                      <m:sup>
                        <m:r>
                          <m:rPr>
                            <m:sty m:val="bi"/>
                          </m:rPr>
                          <w:rPr>
                            <w:rFonts w:ascii="Cambria Math" w:hAnsi="Cambria Math" w:cs="Times New Roman"/>
                            <w:sz w:val="24"/>
                            <w:szCs w:val="24"/>
                            <w:lang w:val="en-GB"/>
                          </w:rPr>
                          <m:t>'</m:t>
                        </m:r>
                      </m:sup>
                    </m:sSubSup>
                    <m:sSub>
                      <m:sSubPr>
                        <m:ctrlPr>
                          <w:rPr>
                            <w:rFonts w:ascii="Cambria Math" w:hAnsi="Cambria Math" w:cs="Times New Roman"/>
                            <w:b/>
                            <w:bCs/>
                            <w:i/>
                            <w:sz w:val="24"/>
                            <w:szCs w:val="24"/>
                            <w:lang w:val="en-GB"/>
                          </w:rPr>
                        </m:ctrlPr>
                      </m:sSubPr>
                      <m:e>
                        <m:r>
                          <m:rPr>
                            <m:sty m:val="b"/>
                          </m:rPr>
                          <w:rPr>
                            <w:rFonts w:ascii="Cambria Math" w:hAnsi="Cambria Math" w:cs="Times New Roman"/>
                            <w:sz w:val="24"/>
                            <w:szCs w:val="24"/>
                            <w:lang w:val="en-GB"/>
                          </w:rPr>
                          <m:t>X</m:t>
                        </m:r>
                      </m:e>
                      <m:sub>
                        <m:r>
                          <w:rPr>
                            <w:rFonts w:ascii="Cambria Math" w:hAnsi="Cambria Math" w:cs="Times New Roman"/>
                            <w:sz w:val="24"/>
                            <w:szCs w:val="24"/>
                            <w:lang w:val="en-GB"/>
                          </w:rPr>
                          <m:t>t</m:t>
                        </m:r>
                      </m:sub>
                    </m:sSub>
                  </m:e>
                </m:d>
              </m:e>
            </m:groupChr>
          </m:e>
          <m:lim>
            <m:r>
              <w:rPr>
                <w:rFonts w:ascii="Cambria Math" w:hAnsi="Cambria Math" w:cs="Times New Roman"/>
                <w:sz w:val="24"/>
                <w:szCs w:val="24"/>
                <w:lang w:val="en-GB"/>
              </w:rPr>
              <m:t>serial correlation adjustment</m:t>
            </m:r>
          </m:lim>
        </m:limLow>
        <m:r>
          <w:rPr>
            <w:rFonts w:ascii="Cambria Math" w:eastAsiaTheme="minorEastAsia" w:hAnsi="Cambria Math" w:cs="Times New Roman"/>
            <w:sz w:val="24"/>
            <w:szCs w:val="24"/>
            <w:lang w:val="en-GB"/>
          </w:rPr>
          <m:t>,</m:t>
        </m:r>
      </m:oMath>
      <w:r w:rsidR="00644DAD" w:rsidRPr="007D2E18">
        <w:rPr>
          <w:rFonts w:ascii="Times New Roman" w:eastAsiaTheme="minorEastAsia" w:hAnsi="Times New Roman" w:cs="Times New Roman"/>
          <w:sz w:val="24"/>
          <w:szCs w:val="24"/>
          <w:lang w:val="en-GB"/>
        </w:rPr>
        <w:tab/>
        <w:t>(5)</w:t>
      </w:r>
    </w:p>
    <w:p w14:paraId="0A5BB1F1" w14:textId="77777777" w:rsidR="00644DAD" w:rsidRPr="007D2E18" w:rsidRDefault="00644DAD" w:rsidP="00A456AE">
      <w:pPr>
        <w:spacing w:after="0" w:line="240" w:lineRule="auto"/>
        <w:jc w:val="both"/>
        <w:rPr>
          <w:rFonts w:ascii="Times New Roman" w:hAnsi="Times New Roman" w:cs="Times New Roman"/>
          <w:sz w:val="24"/>
          <w:szCs w:val="24"/>
          <w:lang w:val="en-GB"/>
        </w:rPr>
      </w:pPr>
    </w:p>
    <w:p w14:paraId="38867189" w14:textId="21E43400" w:rsidR="00644DAD"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and, thus, the Newey-West estimator of the variance matrix </w:t>
      </w:r>
      <w:bookmarkStart w:id="1" w:name="_Hlk30065715"/>
      <m:oMath>
        <m:sSup>
          <m:sSupPr>
            <m:ctrlPr>
              <w:rPr>
                <w:rFonts w:ascii="Cambria Math" w:hAnsi="Cambria Math" w:cs="Times New Roman"/>
                <w:i/>
                <w:sz w:val="24"/>
                <w:szCs w:val="24"/>
                <w:lang w:val="en-GB"/>
              </w:rPr>
            </m:ctrlPr>
          </m:sSupPr>
          <m:e>
            <m:d>
              <m:dPr>
                <m:ctrlPr>
                  <w:rPr>
                    <w:rFonts w:ascii="Cambria Math" w:hAnsi="Cambria Math" w:cs="Times New Roman"/>
                    <w:i/>
                    <w:sz w:val="24"/>
                    <w:szCs w:val="24"/>
                    <w:lang w:val="en-GB"/>
                  </w:rPr>
                </m:ctrlPr>
              </m:dPr>
              <m:e>
                <m:r>
                  <m:rPr>
                    <m:sty m:val="b"/>
                  </m:rPr>
                  <w:rPr>
                    <w:rFonts w:ascii="Cambria Math" w:hAnsi="Cambria Math" w:cs="Times New Roman"/>
                    <w:sz w:val="24"/>
                    <w:szCs w:val="24"/>
                    <w:lang w:val="en-GB"/>
                  </w:rPr>
                  <m:t>X'X</m:t>
                </m:r>
              </m:e>
            </m:d>
          </m:e>
          <m:sup>
            <m:r>
              <w:rPr>
                <w:rFonts w:ascii="Cambria Math" w:hAnsi="Cambria Math" w:cs="Times New Roman"/>
                <w:sz w:val="24"/>
                <w:szCs w:val="24"/>
                <w:lang w:val="en-GB"/>
              </w:rPr>
              <m:t>-1</m:t>
            </m:r>
          </m:sup>
        </m:sSup>
        <w:bookmarkEnd w:id="1"/>
        <m:r>
          <m:rPr>
            <m:sty m:val="b"/>
          </m:rPr>
          <w:rPr>
            <w:rFonts w:ascii="Cambria Math" w:hAnsi="Cambria Math" w:cs="Times New Roman"/>
            <w:sz w:val="24"/>
            <w:szCs w:val="24"/>
            <w:lang w:val="en-GB"/>
          </w:rPr>
          <m:t>X'ΩX</m:t>
        </m:r>
        <m:sSup>
          <m:sSupPr>
            <m:ctrlPr>
              <w:rPr>
                <w:rFonts w:ascii="Cambria Math" w:hAnsi="Cambria Math" w:cs="Times New Roman"/>
                <w:i/>
                <w:sz w:val="24"/>
                <w:szCs w:val="24"/>
                <w:lang w:val="en-GB"/>
              </w:rPr>
            </m:ctrlPr>
          </m:sSupPr>
          <m:e>
            <m:d>
              <m:dPr>
                <m:ctrlPr>
                  <w:rPr>
                    <w:rFonts w:ascii="Cambria Math" w:hAnsi="Cambria Math" w:cs="Times New Roman"/>
                    <w:i/>
                    <w:sz w:val="24"/>
                    <w:szCs w:val="24"/>
                    <w:lang w:val="en-GB"/>
                  </w:rPr>
                </m:ctrlPr>
              </m:dPr>
              <m:e>
                <m:r>
                  <m:rPr>
                    <m:sty m:val="b"/>
                  </m:rPr>
                  <w:rPr>
                    <w:rFonts w:ascii="Cambria Math" w:hAnsi="Cambria Math" w:cs="Times New Roman"/>
                    <w:sz w:val="24"/>
                    <w:szCs w:val="24"/>
                    <w:lang w:val="en-GB"/>
                  </w:rPr>
                  <m:t>X'X</m:t>
                </m:r>
              </m:e>
            </m:d>
          </m:e>
          <m:sup>
            <m:r>
              <w:rPr>
                <w:rFonts w:ascii="Cambria Math" w:hAnsi="Cambria Math" w:cs="Times New Roman"/>
                <w:sz w:val="24"/>
                <w:szCs w:val="24"/>
                <w:lang w:val="en-GB"/>
              </w:rPr>
              <m:t>-1</m:t>
            </m:r>
          </m:sup>
        </m:sSup>
      </m:oMath>
      <w:r w:rsidRPr="007D2E18">
        <w:rPr>
          <w:rFonts w:ascii="Times New Roman" w:hAnsi="Times New Roman" w:cs="Times New Roman"/>
          <w:sz w:val="24"/>
          <w:szCs w:val="24"/>
          <w:lang w:val="en-GB"/>
        </w:rPr>
        <w:t xml:space="preserve"> of </w:t>
      </w:r>
      <m:oMath>
        <m:acc>
          <m:accPr>
            <m:ctrlPr>
              <w:rPr>
                <w:rFonts w:ascii="Cambria Math" w:hAnsi="Cambria Math" w:cs="Times New Roman"/>
                <w:i/>
                <w:iCs/>
                <w:sz w:val="24"/>
                <w:szCs w:val="24"/>
                <w:lang w:val="en-GB"/>
              </w:rPr>
            </m:ctrlPr>
          </m:accPr>
          <m:e>
            <m:r>
              <w:rPr>
                <w:rFonts w:ascii="Cambria Math" w:hAnsi="Cambria Math" w:cs="Times New Roman"/>
                <w:sz w:val="24"/>
                <w:szCs w:val="24"/>
                <w:lang w:val="en-GB"/>
              </w:rPr>
              <m:t>β</m:t>
            </m:r>
          </m:e>
        </m:acc>
      </m:oMath>
      <w:r w:rsidRPr="007D2E18">
        <w:rPr>
          <w:rFonts w:ascii="Times New Roman" w:hAnsi="Times New Roman" w:cs="Times New Roman"/>
          <w:sz w:val="24"/>
          <w:szCs w:val="24"/>
          <w:lang w:val="en-GB"/>
        </w:rPr>
        <w:t xml:space="preserve"> is:</w:t>
      </w:r>
    </w:p>
    <w:p w14:paraId="5AC8FDCF" w14:textId="77777777" w:rsidR="00644DAD" w:rsidRPr="007D2E18" w:rsidRDefault="00644DAD" w:rsidP="00A456AE">
      <w:pPr>
        <w:spacing w:after="0" w:line="240" w:lineRule="auto"/>
        <w:jc w:val="both"/>
        <w:rPr>
          <w:rFonts w:ascii="Times New Roman" w:hAnsi="Times New Roman" w:cs="Times New Roman"/>
          <w:sz w:val="24"/>
          <w:szCs w:val="24"/>
          <w:lang w:val="en-GB"/>
        </w:rPr>
      </w:pPr>
    </w:p>
    <w:p w14:paraId="303B7682" w14:textId="61AF8618" w:rsidR="00644DAD" w:rsidRPr="007D2E18" w:rsidRDefault="000C0297" w:rsidP="00A456AE">
      <w:pPr>
        <w:spacing w:after="0" w:line="240" w:lineRule="auto"/>
        <w:jc w:val="both"/>
        <w:rPr>
          <w:rFonts w:ascii="Times New Roman" w:hAnsi="Times New Roman" w:cs="Times New Roman"/>
          <w:sz w:val="24"/>
          <w:szCs w:val="24"/>
          <w:lang w:val="en-GB"/>
        </w:rPr>
      </w:pPr>
      <m:oMath>
        <m:sSup>
          <m:sSupPr>
            <m:ctrlPr>
              <w:rPr>
                <w:rFonts w:ascii="Cambria Math" w:hAnsi="Cambria Math" w:cs="Times New Roman"/>
                <w:i/>
                <w:iCs/>
                <w:sz w:val="24"/>
                <w:szCs w:val="24"/>
                <w:lang w:val="en-GB"/>
              </w:rPr>
            </m:ctrlPr>
          </m:sSupPr>
          <m:e>
            <m:r>
              <m:rPr>
                <m:scr m:val="double-struck"/>
              </m:rPr>
              <w:rPr>
                <w:rFonts w:ascii="Cambria Math" w:hAnsi="Cambria Math" w:cs="Times New Roman"/>
                <w:sz w:val="24"/>
                <w:szCs w:val="24"/>
                <w:lang w:val="en-GB"/>
              </w:rPr>
              <m:t>V</m:t>
            </m:r>
          </m:e>
          <m:sup>
            <m:r>
              <w:rPr>
                <w:rFonts w:ascii="Cambria Math" w:hAnsi="Cambria Math" w:cs="Times New Roman"/>
                <w:sz w:val="24"/>
                <w:szCs w:val="24"/>
                <w:lang w:val="en-GB"/>
              </w:rPr>
              <m:t>Newey-West</m:t>
            </m:r>
          </m:sup>
        </m:sSup>
        <m:d>
          <m:dPr>
            <m:begChr m:val="["/>
            <m:endChr m:val="]"/>
            <m:ctrlPr>
              <w:rPr>
                <w:rFonts w:ascii="Cambria Math" w:hAnsi="Cambria Math" w:cs="Times New Roman"/>
                <w:i/>
                <w:iCs/>
                <w:sz w:val="24"/>
                <w:szCs w:val="24"/>
                <w:lang w:val="en-GB"/>
              </w:rPr>
            </m:ctrlPr>
          </m:dPr>
          <m:e>
            <m:acc>
              <m:accPr>
                <m:ctrlPr>
                  <w:rPr>
                    <w:rFonts w:ascii="Cambria Math" w:hAnsi="Cambria Math" w:cs="Times New Roman"/>
                    <w:i/>
                    <w:iCs/>
                    <w:sz w:val="24"/>
                    <w:szCs w:val="24"/>
                    <w:lang w:val="en-GB"/>
                  </w:rPr>
                </m:ctrlPr>
              </m:accPr>
              <m:e>
                <m:r>
                  <w:rPr>
                    <w:rFonts w:ascii="Cambria Math" w:hAnsi="Cambria Math" w:cs="Times New Roman"/>
                    <w:sz w:val="24"/>
                    <w:szCs w:val="24"/>
                    <w:lang w:val="en-GB"/>
                  </w:rPr>
                  <m:t>β</m:t>
                </m:r>
              </m:e>
            </m:acc>
          </m:e>
        </m:d>
        <m:r>
          <w:rPr>
            <w:rFonts w:ascii="Cambria Math" w:hAnsi="Cambria Math" w:cs="Times New Roman"/>
            <w:sz w:val="24"/>
            <w:szCs w:val="24"/>
            <w:lang w:val="en-GB"/>
          </w:rPr>
          <m:t>=</m:t>
        </m:r>
        <m:sSup>
          <m:sSupPr>
            <m:ctrlPr>
              <w:rPr>
                <w:rFonts w:ascii="Cambria Math" w:hAnsi="Cambria Math" w:cs="Times New Roman"/>
                <w:i/>
                <w:sz w:val="24"/>
                <w:szCs w:val="24"/>
                <w:lang w:val="en-GB"/>
              </w:rPr>
            </m:ctrlPr>
          </m:sSupPr>
          <m:e>
            <m:d>
              <m:dPr>
                <m:ctrlPr>
                  <w:rPr>
                    <w:rFonts w:ascii="Cambria Math" w:hAnsi="Cambria Math" w:cs="Times New Roman"/>
                    <w:i/>
                    <w:sz w:val="24"/>
                    <w:szCs w:val="24"/>
                    <w:lang w:val="en-GB"/>
                  </w:rPr>
                </m:ctrlPr>
              </m:dPr>
              <m:e>
                <m:r>
                  <m:rPr>
                    <m:sty m:val="b"/>
                  </m:rPr>
                  <w:rPr>
                    <w:rFonts w:ascii="Cambria Math" w:hAnsi="Cambria Math" w:cs="Times New Roman"/>
                    <w:sz w:val="24"/>
                    <w:szCs w:val="24"/>
                    <w:lang w:val="en-GB"/>
                  </w:rPr>
                  <m:t>X'X</m:t>
                </m:r>
              </m:e>
            </m:d>
          </m:e>
          <m:sup>
            <m:r>
              <w:rPr>
                <w:rFonts w:ascii="Cambria Math" w:hAnsi="Cambria Math" w:cs="Times New Roman"/>
                <w:sz w:val="24"/>
                <w:szCs w:val="24"/>
                <w:lang w:val="en-GB"/>
              </w:rPr>
              <m:t>-1</m:t>
            </m:r>
          </m:sup>
        </m:sSup>
        <m:acc>
          <m:accPr>
            <m:ctrlPr>
              <w:rPr>
                <w:rFonts w:ascii="Cambria Math" w:hAnsi="Cambria Math" w:cs="Times New Roman"/>
                <w:b/>
                <w:bCs/>
                <w:sz w:val="24"/>
                <w:szCs w:val="24"/>
                <w:lang w:val="en-GB"/>
              </w:rPr>
            </m:ctrlPr>
          </m:accPr>
          <m:e>
            <m:r>
              <m:rPr>
                <m:sty m:val="b"/>
              </m:rPr>
              <w:rPr>
                <w:rFonts w:ascii="Cambria Math" w:hAnsi="Cambria Math" w:cs="Times New Roman"/>
                <w:sz w:val="24"/>
                <w:szCs w:val="24"/>
                <w:lang w:val="en-GB"/>
              </w:rPr>
              <m:t>Ξ</m:t>
            </m:r>
          </m:e>
        </m:acc>
        <m:sSup>
          <m:sSupPr>
            <m:ctrlPr>
              <w:rPr>
                <w:rFonts w:ascii="Cambria Math" w:hAnsi="Cambria Math" w:cs="Times New Roman"/>
                <w:i/>
                <w:sz w:val="24"/>
                <w:szCs w:val="24"/>
                <w:lang w:val="en-GB"/>
              </w:rPr>
            </m:ctrlPr>
          </m:sSupPr>
          <m:e>
            <m:d>
              <m:dPr>
                <m:ctrlPr>
                  <w:rPr>
                    <w:rFonts w:ascii="Cambria Math" w:hAnsi="Cambria Math" w:cs="Times New Roman"/>
                    <w:i/>
                    <w:sz w:val="24"/>
                    <w:szCs w:val="24"/>
                    <w:lang w:val="en-GB"/>
                  </w:rPr>
                </m:ctrlPr>
              </m:dPr>
              <m:e>
                <m:r>
                  <m:rPr>
                    <m:sty m:val="b"/>
                  </m:rPr>
                  <w:rPr>
                    <w:rFonts w:ascii="Cambria Math" w:hAnsi="Cambria Math" w:cs="Times New Roman"/>
                    <w:sz w:val="24"/>
                    <w:szCs w:val="24"/>
                    <w:lang w:val="en-GB"/>
                  </w:rPr>
                  <m:t>X'X</m:t>
                </m:r>
              </m:e>
            </m:d>
          </m:e>
          <m:sup>
            <m:r>
              <w:rPr>
                <w:rFonts w:ascii="Cambria Math" w:hAnsi="Cambria Math" w:cs="Times New Roman"/>
                <w:sz w:val="24"/>
                <w:szCs w:val="24"/>
                <w:lang w:val="en-GB"/>
              </w:rPr>
              <m:t>-1</m:t>
            </m:r>
          </m:sup>
        </m:sSup>
        <m:r>
          <w:rPr>
            <w:rFonts w:ascii="Cambria Math" w:eastAsiaTheme="minorEastAsia" w:hAnsi="Cambria Math" w:cs="Times New Roman"/>
            <w:sz w:val="24"/>
            <w:szCs w:val="24"/>
            <w:lang w:val="en-GB"/>
          </w:rPr>
          <m:t>,</m:t>
        </m:r>
      </m:oMath>
      <w:r w:rsidR="00033AA9" w:rsidRPr="007D2E18">
        <w:rPr>
          <w:rFonts w:ascii="Times New Roman" w:eastAsiaTheme="minorEastAsia" w:hAnsi="Times New Roman" w:cs="Times New Roman"/>
          <w:iCs/>
          <w:sz w:val="24"/>
          <w:szCs w:val="24"/>
          <w:lang w:val="en-GB"/>
        </w:rPr>
        <w:tab/>
      </w:r>
      <w:r w:rsidR="00033AA9" w:rsidRPr="007D2E18">
        <w:rPr>
          <w:rFonts w:ascii="Times New Roman" w:eastAsiaTheme="minorEastAsia" w:hAnsi="Times New Roman" w:cs="Times New Roman"/>
          <w:iCs/>
          <w:sz w:val="24"/>
          <w:szCs w:val="24"/>
          <w:lang w:val="en-GB"/>
        </w:rPr>
        <w:tab/>
        <w:t>(6)</w:t>
      </w:r>
    </w:p>
    <w:p w14:paraId="299EAC46" w14:textId="77777777" w:rsidR="00033AA9" w:rsidRPr="007D2E18" w:rsidRDefault="00033AA9" w:rsidP="00A456AE">
      <w:pPr>
        <w:spacing w:after="0" w:line="240" w:lineRule="auto"/>
        <w:jc w:val="both"/>
        <w:rPr>
          <w:rFonts w:ascii="Times New Roman" w:hAnsi="Times New Roman" w:cs="Times New Roman"/>
          <w:sz w:val="24"/>
          <w:szCs w:val="24"/>
          <w:lang w:val="en-GB"/>
        </w:rPr>
      </w:pPr>
    </w:p>
    <w:p w14:paraId="0A803046" w14:textId="260BB154" w:rsidR="00644DAD"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and the estimator is said heteroskedasticity and autocorrelation consistent.</w:t>
      </w:r>
    </w:p>
    <w:p w14:paraId="13875057" w14:textId="77777777" w:rsidR="00644DAD" w:rsidRPr="007D2E18" w:rsidRDefault="00644DAD" w:rsidP="00A456AE">
      <w:pPr>
        <w:spacing w:after="0" w:line="240" w:lineRule="auto"/>
        <w:jc w:val="both"/>
        <w:rPr>
          <w:rFonts w:ascii="Times New Roman" w:hAnsi="Times New Roman" w:cs="Times New Roman"/>
          <w:sz w:val="24"/>
          <w:szCs w:val="24"/>
          <w:lang w:val="en-GB"/>
        </w:rPr>
      </w:pPr>
    </w:p>
    <w:p w14:paraId="7F967ECC" w14:textId="716E4F3D" w:rsidR="0085000C"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For robustness purposes, we also conduct the full exercise making use of the jackknife estimator of coefficients standard deviation. The jackknife first-order unbiased estimator serves primarily in cases where some observations could be influencing the overall statistic. The estimator repeatedly calculates the standard deviation each time omitting just one of the dataset</w:t>
      </w:r>
      <w:r w:rsidR="00C27546"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 xml:space="preserve">s observations. If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y</m:t>
            </m:r>
          </m:e>
          <m:sub>
            <m:r>
              <w:rPr>
                <w:rFonts w:ascii="Cambria Math" w:hAnsi="Cambria Math" w:cs="Times New Roman"/>
                <w:sz w:val="24"/>
                <w:szCs w:val="24"/>
                <w:lang w:val="en-GB"/>
              </w:rPr>
              <m:t>i</m:t>
            </m:r>
          </m:sub>
        </m:sSub>
      </m:oMath>
      <w:r w:rsidRPr="007D2E18">
        <w:rPr>
          <w:rFonts w:ascii="Times New Roman" w:hAnsi="Times New Roman" w:cs="Times New Roman"/>
          <w:sz w:val="24"/>
          <w:szCs w:val="24"/>
          <w:lang w:val="en-GB"/>
        </w:rPr>
        <w:t xml:space="preserve"> is the </w:t>
      </w:r>
      <m:oMath>
        <m:r>
          <w:rPr>
            <w:rFonts w:ascii="Cambria Math" w:hAnsi="Cambria Math" w:cs="Times New Roman"/>
            <w:sz w:val="24"/>
            <w:szCs w:val="24"/>
            <w:lang w:val="en-GB"/>
          </w:rPr>
          <m:t>i</m:t>
        </m:r>
      </m:oMath>
      <w:r w:rsidRPr="007D2E18">
        <w:rPr>
          <w:rFonts w:ascii="Times New Roman" w:hAnsi="Times New Roman" w:cs="Times New Roman"/>
          <w:sz w:val="24"/>
          <w:szCs w:val="24"/>
          <w:lang w:val="en-GB"/>
        </w:rPr>
        <w:t xml:space="preserve">-th observation of the data with </w:t>
      </w:r>
      <m:oMath>
        <m:r>
          <w:rPr>
            <w:rFonts w:ascii="Cambria Math" w:hAnsi="Cambria Math" w:cs="Times New Roman"/>
            <w:sz w:val="24"/>
            <w:szCs w:val="24"/>
            <w:lang w:val="en-GB"/>
          </w:rPr>
          <m:t>i</m:t>
        </m:r>
        <m:r>
          <w:rPr>
            <w:rFonts w:ascii="Cambria Math" w:eastAsiaTheme="minorEastAsia" w:hAnsi="Cambria Math" w:cs="Times New Roman"/>
            <w:sz w:val="24"/>
            <w:szCs w:val="24"/>
            <w:lang w:val="en-GB"/>
          </w:rPr>
          <m:t>=1,...,T</m:t>
        </m:r>
      </m:oMath>
      <w:r w:rsidRPr="007D2E18">
        <w:rPr>
          <w:rFonts w:ascii="Times New Roman" w:hAnsi="Times New Roman" w:cs="Times New Roman"/>
          <w:sz w:val="24"/>
          <w:szCs w:val="24"/>
          <w:lang w:val="en-GB"/>
        </w:rPr>
        <w:t>, the jackknife estimator of the standard deviation makes use of the mean:</w:t>
      </w:r>
    </w:p>
    <w:p w14:paraId="4B8B6580" w14:textId="2FE2D078" w:rsidR="0085000C" w:rsidRPr="007D2E18" w:rsidRDefault="0085000C" w:rsidP="00A456AE">
      <w:pPr>
        <w:spacing w:after="0" w:line="240" w:lineRule="auto"/>
        <w:jc w:val="both"/>
        <w:rPr>
          <w:rFonts w:ascii="Times New Roman" w:hAnsi="Times New Roman" w:cs="Times New Roman"/>
          <w:sz w:val="24"/>
          <w:szCs w:val="24"/>
          <w:lang w:val="en-GB"/>
        </w:rPr>
      </w:pPr>
    </w:p>
    <w:p w14:paraId="2B64686E" w14:textId="1D8285C7" w:rsidR="00C27546" w:rsidRPr="007D2E18" w:rsidRDefault="000C0297" w:rsidP="00A456AE">
      <w:pPr>
        <w:spacing w:after="0" w:line="240" w:lineRule="auto"/>
        <w:jc w:val="both"/>
        <w:rPr>
          <w:rFonts w:ascii="Times New Roman" w:hAnsi="Times New Roman" w:cs="Times New Roman"/>
          <w:sz w:val="24"/>
          <w:szCs w:val="24"/>
          <w:lang w:val="en-GB"/>
        </w:rPr>
      </w:pPr>
      <m:oMath>
        <m:acc>
          <m:accPr>
            <m:chr m:val="̅"/>
            <m:ctrlPr>
              <w:rPr>
                <w:rFonts w:ascii="Cambria Math" w:hAnsi="Cambria Math" w:cs="Times New Roman"/>
                <w:i/>
                <w:iCs/>
                <w:sz w:val="24"/>
                <w:szCs w:val="24"/>
                <w:lang w:val="en-GB"/>
              </w:rPr>
            </m:ctrlPr>
          </m:accPr>
          <m:e>
            <m:r>
              <w:rPr>
                <w:rFonts w:ascii="Cambria Math" w:hAnsi="Cambria Math" w:cs="Times New Roman"/>
                <w:sz w:val="24"/>
                <w:szCs w:val="24"/>
                <w:lang w:val="en-GB"/>
              </w:rPr>
              <m:t>y</m:t>
            </m:r>
          </m:e>
        </m:acc>
        <m:r>
          <w:rPr>
            <w:rFonts w:ascii="Cambria Math" w:hAnsi="Cambria Math" w:cs="Times New Roman"/>
            <w:sz w:val="24"/>
            <w:szCs w:val="24"/>
            <w:lang w:val="en-GB"/>
          </w:rPr>
          <m:t>=</m:t>
        </m:r>
        <m:f>
          <m:fPr>
            <m:ctrlPr>
              <w:rPr>
                <w:rFonts w:ascii="Cambria Math" w:hAnsi="Cambria Math" w:cs="Times New Roman"/>
                <w:i/>
                <w:iCs/>
                <w:sz w:val="24"/>
                <w:szCs w:val="24"/>
                <w:lang w:val="en-GB"/>
              </w:rPr>
            </m:ctrlPr>
          </m:fPr>
          <m:num>
            <m:d>
              <m:dPr>
                <m:ctrlPr>
                  <w:rPr>
                    <w:rFonts w:ascii="Cambria Math" w:hAnsi="Cambria Math" w:cs="Times New Roman"/>
                    <w:i/>
                    <w:iCs/>
                    <w:sz w:val="24"/>
                    <w:szCs w:val="24"/>
                    <w:lang w:val="en-GB"/>
                  </w:rPr>
                </m:ctrlPr>
              </m:dPr>
              <m:e>
                <m:r>
                  <w:rPr>
                    <w:rFonts w:ascii="Cambria Math" w:hAnsi="Cambria Math" w:cs="Times New Roman"/>
                    <w:sz w:val="24"/>
                    <w:szCs w:val="24"/>
                    <w:lang w:val="en-GB"/>
                  </w:rPr>
                  <m:t>T-1</m:t>
                </m:r>
              </m:e>
            </m:d>
            <m:sSub>
              <m:sSubPr>
                <m:ctrlPr>
                  <w:rPr>
                    <w:rFonts w:ascii="Cambria Math" w:hAnsi="Cambria Math" w:cs="Times New Roman"/>
                    <w:i/>
                    <w:iCs/>
                    <w:sz w:val="24"/>
                    <w:szCs w:val="24"/>
                    <w:lang w:val="en-GB"/>
                  </w:rPr>
                </m:ctrlPr>
              </m:sSubPr>
              <m:e>
                <m:acc>
                  <m:accPr>
                    <m:chr m:val="̅"/>
                    <m:ctrlPr>
                      <w:rPr>
                        <w:rFonts w:ascii="Cambria Math" w:hAnsi="Cambria Math" w:cs="Times New Roman"/>
                        <w:i/>
                        <w:iCs/>
                        <w:sz w:val="24"/>
                        <w:szCs w:val="24"/>
                        <w:lang w:val="en-GB"/>
                      </w:rPr>
                    </m:ctrlPr>
                  </m:accPr>
                  <m:e>
                    <m:r>
                      <w:rPr>
                        <w:rFonts w:ascii="Cambria Math" w:hAnsi="Cambria Math" w:cs="Times New Roman"/>
                        <w:sz w:val="24"/>
                        <w:szCs w:val="24"/>
                        <w:lang w:val="en-GB"/>
                      </w:rPr>
                      <m:t>y</m:t>
                    </m:r>
                  </m:e>
                </m:acc>
              </m:e>
              <m:sub>
                <m:r>
                  <w:rPr>
                    <w:rFonts w:ascii="Cambria Math" w:hAnsi="Cambria Math" w:cs="Times New Roman"/>
                    <w:sz w:val="24"/>
                    <w:szCs w:val="24"/>
                    <w:lang w:val="en-GB"/>
                  </w:rPr>
                  <m:t>(i)</m:t>
                </m:r>
              </m:sub>
            </m:sSub>
            <m:r>
              <w:rPr>
                <w:rFonts w:ascii="Cambria Math" w:hAnsi="Cambria Math" w:cs="Times New Roman"/>
                <w:sz w:val="24"/>
                <w:szCs w:val="24"/>
                <w:lang w:val="en-GB"/>
              </w:rPr>
              <m:t>+</m:t>
            </m:r>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y</m:t>
                </m:r>
              </m:e>
              <m:sub>
                <m:r>
                  <w:rPr>
                    <w:rFonts w:ascii="Cambria Math" w:hAnsi="Cambria Math" w:cs="Times New Roman"/>
                    <w:sz w:val="24"/>
                    <w:szCs w:val="24"/>
                    <w:lang w:val="en-GB"/>
                  </w:rPr>
                  <m:t>i</m:t>
                </m:r>
              </m:sub>
            </m:sSub>
          </m:num>
          <m:den>
            <m:r>
              <w:rPr>
                <w:rFonts w:ascii="Cambria Math" w:hAnsi="Cambria Math" w:cs="Times New Roman"/>
                <w:sz w:val="24"/>
                <w:szCs w:val="24"/>
                <w:lang w:val="en-GB"/>
              </w:rPr>
              <m:t>T</m:t>
            </m:r>
          </m:den>
        </m:f>
        <m:r>
          <w:rPr>
            <w:rFonts w:ascii="Cambria Math" w:hAnsi="Cambria Math" w:cs="Times New Roman"/>
            <w:sz w:val="24"/>
            <w:szCs w:val="24"/>
            <w:lang w:val="en-GB"/>
          </w:rPr>
          <m:t>,</m:t>
        </m:r>
      </m:oMath>
      <w:r w:rsidR="00CA489B" w:rsidRPr="007D2E18">
        <w:rPr>
          <w:rFonts w:ascii="Times New Roman" w:eastAsiaTheme="minorEastAsia" w:hAnsi="Times New Roman" w:cs="Times New Roman"/>
          <w:iCs/>
          <w:sz w:val="24"/>
          <w:szCs w:val="24"/>
          <w:lang w:val="en-GB"/>
        </w:rPr>
        <w:tab/>
        <w:t>(7)</w:t>
      </w:r>
    </w:p>
    <w:p w14:paraId="4A8BA050" w14:textId="77777777" w:rsidR="0085000C" w:rsidRPr="007D2E18" w:rsidRDefault="0085000C" w:rsidP="00A456AE">
      <w:pPr>
        <w:spacing w:after="0" w:line="240" w:lineRule="auto"/>
        <w:jc w:val="both"/>
        <w:rPr>
          <w:rFonts w:ascii="Times New Roman" w:hAnsi="Times New Roman" w:cs="Times New Roman"/>
          <w:sz w:val="24"/>
          <w:szCs w:val="24"/>
          <w:lang w:val="en-GB"/>
        </w:rPr>
      </w:pPr>
    </w:p>
    <w:p w14:paraId="699202BD" w14:textId="55F4E64F" w:rsidR="0085000C"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where </w:t>
      </w:r>
      <m:oMath>
        <m:sSub>
          <m:sSubPr>
            <m:ctrlPr>
              <w:rPr>
                <w:rFonts w:ascii="Cambria Math" w:hAnsi="Cambria Math" w:cs="Times New Roman"/>
                <w:i/>
                <w:iCs/>
                <w:sz w:val="24"/>
                <w:szCs w:val="24"/>
                <w:lang w:val="en-GB"/>
              </w:rPr>
            </m:ctrlPr>
          </m:sSubPr>
          <m:e>
            <m:acc>
              <m:accPr>
                <m:chr m:val="̅"/>
                <m:ctrlPr>
                  <w:rPr>
                    <w:rFonts w:ascii="Cambria Math" w:hAnsi="Cambria Math" w:cs="Times New Roman"/>
                    <w:i/>
                    <w:iCs/>
                    <w:sz w:val="24"/>
                    <w:szCs w:val="24"/>
                    <w:lang w:val="en-GB"/>
                  </w:rPr>
                </m:ctrlPr>
              </m:accPr>
              <m:e>
                <m:r>
                  <w:rPr>
                    <w:rFonts w:ascii="Cambria Math" w:hAnsi="Cambria Math" w:cs="Times New Roman"/>
                    <w:sz w:val="24"/>
                    <w:szCs w:val="24"/>
                    <w:lang w:val="en-GB"/>
                  </w:rPr>
                  <m:t>y</m:t>
                </m:r>
              </m:e>
            </m:acc>
          </m:e>
          <m:sub>
            <m:r>
              <w:rPr>
                <w:rFonts w:ascii="Cambria Math" w:hAnsi="Cambria Math" w:cs="Times New Roman"/>
                <w:sz w:val="24"/>
                <w:szCs w:val="24"/>
                <w:lang w:val="en-GB"/>
              </w:rPr>
              <m:t>(i)</m:t>
            </m:r>
          </m:sub>
        </m:sSub>
      </m:oMath>
      <w:r w:rsidRPr="007D2E18">
        <w:rPr>
          <w:rFonts w:ascii="Times New Roman" w:hAnsi="Times New Roman" w:cs="Times New Roman"/>
          <w:sz w:val="24"/>
          <w:szCs w:val="24"/>
          <w:lang w:val="en-GB"/>
        </w:rPr>
        <w:t xml:space="preserve"> is the mean using the entire sample excluding the </w:t>
      </w:r>
      <m:oMath>
        <m:r>
          <w:rPr>
            <w:rFonts w:ascii="Cambria Math" w:hAnsi="Cambria Math" w:cs="Times New Roman"/>
            <w:sz w:val="24"/>
            <w:szCs w:val="24"/>
            <w:lang w:val="en-GB"/>
          </w:rPr>
          <m:t>i</m:t>
        </m:r>
      </m:oMath>
      <w:r w:rsidRPr="007D2E18">
        <w:rPr>
          <w:rFonts w:ascii="Times New Roman" w:hAnsi="Times New Roman" w:cs="Times New Roman"/>
          <w:sz w:val="24"/>
          <w:szCs w:val="24"/>
          <w:lang w:val="en-GB"/>
        </w:rPr>
        <w:t xml:space="preserve">-th observation. Thus, solving for </w:t>
      </w: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y</m:t>
            </m:r>
          </m:e>
          <m:sub>
            <m:r>
              <w:rPr>
                <w:rFonts w:ascii="Cambria Math" w:hAnsi="Cambria Math" w:cs="Times New Roman"/>
                <w:sz w:val="24"/>
                <w:szCs w:val="24"/>
                <w:lang w:val="en-GB"/>
              </w:rPr>
              <m:t>i</m:t>
            </m:r>
          </m:sub>
        </m:sSub>
      </m:oMath>
      <w:r w:rsidRPr="007D2E18">
        <w:rPr>
          <w:rFonts w:ascii="Times New Roman" w:hAnsi="Times New Roman" w:cs="Times New Roman"/>
          <w:sz w:val="24"/>
          <w:szCs w:val="24"/>
          <w:lang w:val="en-GB"/>
        </w:rPr>
        <w:t xml:space="preserve"> we have:</w:t>
      </w:r>
    </w:p>
    <w:p w14:paraId="217FF929" w14:textId="77777777" w:rsidR="0085000C" w:rsidRPr="007D2E18" w:rsidRDefault="0085000C" w:rsidP="00A456AE">
      <w:pPr>
        <w:spacing w:after="0" w:line="240" w:lineRule="auto"/>
        <w:jc w:val="both"/>
        <w:rPr>
          <w:rFonts w:ascii="Times New Roman" w:hAnsi="Times New Roman" w:cs="Times New Roman"/>
          <w:sz w:val="24"/>
          <w:szCs w:val="24"/>
          <w:lang w:val="en-GB"/>
        </w:rPr>
      </w:pPr>
    </w:p>
    <w:p w14:paraId="466C3A45" w14:textId="6A736618" w:rsidR="00CA489B" w:rsidRPr="007D2E18" w:rsidRDefault="000C0297" w:rsidP="00CA489B">
      <w:pPr>
        <w:spacing w:after="0" w:line="240" w:lineRule="auto"/>
        <w:jc w:val="both"/>
        <w:rPr>
          <w:rFonts w:ascii="Times New Roman" w:hAnsi="Times New Roman" w:cs="Times New Roman"/>
          <w:sz w:val="24"/>
          <w:szCs w:val="24"/>
          <w:lang w:val="en-GB"/>
        </w:rPr>
      </w:pP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y</m:t>
            </m:r>
          </m:e>
          <m:sub>
            <m:r>
              <w:rPr>
                <w:rFonts w:ascii="Cambria Math" w:hAnsi="Cambria Math" w:cs="Times New Roman"/>
                <w:sz w:val="24"/>
                <w:szCs w:val="24"/>
                <w:lang w:val="en-GB"/>
              </w:rPr>
              <m:t>i</m:t>
            </m:r>
          </m:sub>
        </m:sSub>
        <m:r>
          <w:rPr>
            <w:rFonts w:ascii="Cambria Math" w:hAnsi="Cambria Math" w:cs="Times New Roman"/>
            <w:sz w:val="24"/>
            <w:szCs w:val="24"/>
            <w:lang w:val="en-GB"/>
          </w:rPr>
          <m:t>=T</m:t>
        </m:r>
        <m:acc>
          <m:accPr>
            <m:chr m:val="̅"/>
            <m:ctrlPr>
              <w:rPr>
                <w:rFonts w:ascii="Cambria Math" w:hAnsi="Cambria Math" w:cs="Times New Roman"/>
                <w:i/>
                <w:iCs/>
                <w:sz w:val="24"/>
                <w:szCs w:val="24"/>
                <w:lang w:val="en-GB"/>
              </w:rPr>
            </m:ctrlPr>
          </m:accPr>
          <m:e>
            <m:r>
              <w:rPr>
                <w:rFonts w:ascii="Cambria Math" w:hAnsi="Cambria Math" w:cs="Times New Roman"/>
                <w:sz w:val="24"/>
                <w:szCs w:val="24"/>
                <w:lang w:val="en-GB"/>
              </w:rPr>
              <m:t>y</m:t>
            </m:r>
          </m:e>
        </m:acc>
        <m:r>
          <w:rPr>
            <w:rFonts w:ascii="Cambria Math" w:hAnsi="Cambria Math" w:cs="Times New Roman"/>
            <w:sz w:val="24"/>
            <w:szCs w:val="24"/>
            <w:lang w:val="en-GB"/>
          </w:rPr>
          <m:t>+</m:t>
        </m:r>
        <m:d>
          <m:dPr>
            <m:ctrlPr>
              <w:rPr>
                <w:rFonts w:ascii="Cambria Math" w:hAnsi="Cambria Math" w:cs="Times New Roman"/>
                <w:i/>
                <w:iCs/>
                <w:sz w:val="24"/>
                <w:szCs w:val="24"/>
                <w:lang w:val="en-GB"/>
              </w:rPr>
            </m:ctrlPr>
          </m:dPr>
          <m:e>
            <m:r>
              <w:rPr>
                <w:rFonts w:ascii="Cambria Math" w:hAnsi="Cambria Math" w:cs="Times New Roman"/>
                <w:sz w:val="24"/>
                <w:szCs w:val="24"/>
                <w:lang w:val="en-GB"/>
              </w:rPr>
              <m:t>T-1</m:t>
            </m:r>
          </m:e>
        </m:d>
        <m:sSub>
          <m:sSubPr>
            <m:ctrlPr>
              <w:rPr>
                <w:rFonts w:ascii="Cambria Math" w:hAnsi="Cambria Math" w:cs="Times New Roman"/>
                <w:i/>
                <w:iCs/>
                <w:sz w:val="24"/>
                <w:szCs w:val="24"/>
                <w:lang w:val="en-GB"/>
              </w:rPr>
            </m:ctrlPr>
          </m:sSubPr>
          <m:e>
            <m:acc>
              <m:accPr>
                <m:chr m:val="̅"/>
                <m:ctrlPr>
                  <w:rPr>
                    <w:rFonts w:ascii="Cambria Math" w:hAnsi="Cambria Math" w:cs="Times New Roman"/>
                    <w:i/>
                    <w:iCs/>
                    <w:sz w:val="24"/>
                    <w:szCs w:val="24"/>
                    <w:lang w:val="en-GB"/>
                  </w:rPr>
                </m:ctrlPr>
              </m:accPr>
              <m:e>
                <m:r>
                  <w:rPr>
                    <w:rFonts w:ascii="Cambria Math" w:hAnsi="Cambria Math" w:cs="Times New Roman"/>
                    <w:sz w:val="24"/>
                    <w:szCs w:val="24"/>
                    <w:lang w:val="en-GB"/>
                  </w:rPr>
                  <m:t>y</m:t>
                </m:r>
              </m:e>
            </m:acc>
          </m:e>
          <m:sub>
            <m:r>
              <w:rPr>
                <w:rFonts w:ascii="Cambria Math" w:hAnsi="Cambria Math" w:cs="Times New Roman"/>
                <w:sz w:val="24"/>
                <w:szCs w:val="24"/>
                <w:lang w:val="en-GB"/>
              </w:rPr>
              <m:t>(i)</m:t>
            </m:r>
          </m:sub>
        </m:sSub>
        <m:r>
          <w:rPr>
            <w:rFonts w:ascii="Cambria Math" w:hAnsi="Cambria Math" w:cs="Times New Roman"/>
            <w:sz w:val="24"/>
            <w:szCs w:val="24"/>
            <w:lang w:val="en-GB"/>
          </w:rPr>
          <m:t>,</m:t>
        </m:r>
      </m:oMath>
      <w:r w:rsidR="00CA489B" w:rsidRPr="007D2E18">
        <w:rPr>
          <w:rFonts w:ascii="Times New Roman" w:eastAsiaTheme="minorEastAsia" w:hAnsi="Times New Roman" w:cs="Times New Roman"/>
          <w:iCs/>
          <w:sz w:val="24"/>
          <w:szCs w:val="24"/>
          <w:lang w:val="en-GB"/>
        </w:rPr>
        <w:tab/>
        <w:t>(8)</w:t>
      </w:r>
    </w:p>
    <w:p w14:paraId="1603DC20" w14:textId="77777777" w:rsidR="00CA489B" w:rsidRPr="007D2E18" w:rsidRDefault="00CA489B" w:rsidP="00A456AE">
      <w:pPr>
        <w:spacing w:after="0" w:line="240" w:lineRule="auto"/>
        <w:jc w:val="both"/>
        <w:rPr>
          <w:rFonts w:ascii="Times New Roman" w:hAnsi="Times New Roman" w:cs="Times New Roman"/>
          <w:sz w:val="24"/>
          <w:szCs w:val="24"/>
          <w:lang w:val="en-GB"/>
        </w:rPr>
      </w:pPr>
    </w:p>
    <w:p w14:paraId="1A7ABE97" w14:textId="04DC8874" w:rsidR="0085000C"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and more generally:</w:t>
      </w:r>
    </w:p>
    <w:p w14:paraId="71EE7813" w14:textId="77777777" w:rsidR="0085000C" w:rsidRPr="007D2E18" w:rsidRDefault="0085000C" w:rsidP="00A456AE">
      <w:pPr>
        <w:spacing w:after="0" w:line="240" w:lineRule="auto"/>
        <w:jc w:val="both"/>
        <w:rPr>
          <w:rFonts w:ascii="Times New Roman" w:hAnsi="Times New Roman" w:cs="Times New Roman"/>
          <w:sz w:val="24"/>
          <w:szCs w:val="24"/>
          <w:lang w:val="en-GB"/>
        </w:rPr>
      </w:pPr>
    </w:p>
    <w:p w14:paraId="37B80472" w14:textId="21D9D01E" w:rsidR="00CA489B" w:rsidRPr="007D2E18" w:rsidRDefault="000C0297" w:rsidP="00CA489B">
      <w:pPr>
        <w:spacing w:after="0" w:line="240" w:lineRule="auto"/>
        <w:jc w:val="both"/>
        <w:rPr>
          <w:rFonts w:ascii="Times New Roman" w:hAnsi="Times New Roman" w:cs="Times New Roman"/>
          <w:sz w:val="24"/>
          <w:szCs w:val="24"/>
          <w:lang w:val="en-GB"/>
        </w:rPr>
      </w:pPr>
      <m:oMath>
        <m:sSubSup>
          <m:sSubSupPr>
            <m:ctrlPr>
              <w:rPr>
                <w:rFonts w:ascii="Cambria Math" w:hAnsi="Cambria Math" w:cs="Times New Roman"/>
                <w:i/>
                <w:iCs/>
                <w:sz w:val="24"/>
                <w:szCs w:val="24"/>
                <w:lang w:val="en-GB"/>
              </w:rPr>
            </m:ctrlPr>
          </m:sSubSupPr>
          <m:e>
            <m:acc>
              <m:accPr>
                <m:ctrlPr>
                  <w:rPr>
                    <w:rFonts w:ascii="Cambria Math" w:hAnsi="Cambria Math" w:cs="Times New Roman"/>
                    <w:i/>
                    <w:iCs/>
                    <w:sz w:val="24"/>
                    <w:szCs w:val="24"/>
                    <w:lang w:val="en-GB"/>
                  </w:rPr>
                </m:ctrlPr>
              </m:accPr>
              <m:e>
                <m:r>
                  <w:rPr>
                    <w:rFonts w:ascii="Cambria Math" w:hAnsi="Cambria Math" w:cs="Times New Roman"/>
                    <w:sz w:val="24"/>
                    <w:szCs w:val="24"/>
                    <w:lang w:val="en-GB"/>
                  </w:rPr>
                  <m:t>θ</m:t>
                </m:r>
              </m:e>
            </m:acc>
          </m:e>
          <m:sub>
            <m:r>
              <w:rPr>
                <w:rFonts w:ascii="Cambria Math" w:hAnsi="Cambria Math" w:cs="Times New Roman"/>
                <w:sz w:val="24"/>
                <w:szCs w:val="24"/>
                <w:lang w:val="en-GB"/>
              </w:rPr>
              <m:t>i</m:t>
            </m:r>
          </m:sub>
          <m:sup>
            <m:r>
              <w:rPr>
                <w:rFonts w:ascii="Cambria Math" w:hAnsi="Cambria Math" w:cs="Times New Roman"/>
                <w:sz w:val="24"/>
                <w:szCs w:val="24"/>
                <w:lang w:val="en-GB"/>
              </w:rPr>
              <m:t>*</m:t>
            </m:r>
          </m:sup>
        </m:sSubSup>
        <m:r>
          <w:rPr>
            <w:rFonts w:ascii="Cambria Math" w:hAnsi="Cambria Math" w:cs="Times New Roman"/>
            <w:sz w:val="24"/>
            <w:szCs w:val="24"/>
            <w:lang w:val="en-GB"/>
          </w:rPr>
          <m:t>=T</m:t>
        </m:r>
        <m:acc>
          <m:accPr>
            <m:ctrlPr>
              <w:rPr>
                <w:rFonts w:ascii="Cambria Math" w:hAnsi="Cambria Math" w:cs="Times New Roman"/>
                <w:i/>
                <w:iCs/>
                <w:sz w:val="24"/>
                <w:szCs w:val="24"/>
                <w:lang w:val="en-GB"/>
              </w:rPr>
            </m:ctrlPr>
          </m:accPr>
          <m:e>
            <m:r>
              <w:rPr>
                <w:rFonts w:ascii="Cambria Math" w:hAnsi="Cambria Math" w:cs="Times New Roman"/>
                <w:sz w:val="24"/>
                <w:szCs w:val="24"/>
                <w:lang w:val="en-GB"/>
              </w:rPr>
              <m:t>θ</m:t>
            </m:r>
          </m:e>
        </m:acc>
        <m:r>
          <w:rPr>
            <w:rFonts w:ascii="Cambria Math" w:hAnsi="Cambria Math" w:cs="Times New Roman"/>
            <w:sz w:val="24"/>
            <w:szCs w:val="24"/>
            <w:lang w:val="en-GB"/>
          </w:rPr>
          <m:t>+</m:t>
        </m:r>
        <m:d>
          <m:dPr>
            <m:ctrlPr>
              <w:rPr>
                <w:rFonts w:ascii="Cambria Math" w:hAnsi="Cambria Math" w:cs="Times New Roman"/>
                <w:i/>
                <w:iCs/>
                <w:sz w:val="24"/>
                <w:szCs w:val="24"/>
                <w:lang w:val="en-GB"/>
              </w:rPr>
            </m:ctrlPr>
          </m:dPr>
          <m:e>
            <m:r>
              <w:rPr>
                <w:rFonts w:ascii="Cambria Math" w:hAnsi="Cambria Math" w:cs="Times New Roman"/>
                <w:sz w:val="24"/>
                <w:szCs w:val="24"/>
                <w:lang w:val="en-GB"/>
              </w:rPr>
              <m:t>T-1</m:t>
            </m:r>
          </m:e>
        </m:d>
        <m:sSub>
          <m:sSubPr>
            <m:ctrlPr>
              <w:rPr>
                <w:rFonts w:ascii="Cambria Math" w:hAnsi="Cambria Math" w:cs="Times New Roman"/>
                <w:i/>
                <w:iCs/>
                <w:sz w:val="24"/>
                <w:szCs w:val="24"/>
                <w:lang w:val="en-GB"/>
              </w:rPr>
            </m:ctrlPr>
          </m:sSubPr>
          <m:e>
            <m:acc>
              <m:accPr>
                <m:ctrlPr>
                  <w:rPr>
                    <w:rFonts w:ascii="Cambria Math" w:hAnsi="Cambria Math" w:cs="Times New Roman"/>
                    <w:i/>
                    <w:iCs/>
                    <w:sz w:val="24"/>
                    <w:szCs w:val="24"/>
                    <w:lang w:val="en-GB"/>
                  </w:rPr>
                </m:ctrlPr>
              </m:accPr>
              <m:e>
                <m:r>
                  <w:rPr>
                    <w:rFonts w:ascii="Cambria Math" w:hAnsi="Cambria Math" w:cs="Times New Roman"/>
                    <w:sz w:val="24"/>
                    <w:szCs w:val="24"/>
                    <w:lang w:val="en-GB"/>
                  </w:rPr>
                  <m:t>θ</m:t>
                </m:r>
              </m:e>
            </m:acc>
          </m:e>
          <m:sub>
            <m:r>
              <w:rPr>
                <w:rFonts w:ascii="Cambria Math" w:hAnsi="Cambria Math" w:cs="Times New Roman"/>
                <w:sz w:val="24"/>
                <w:szCs w:val="24"/>
                <w:lang w:val="en-GB"/>
              </w:rPr>
              <m:t>(i)</m:t>
            </m:r>
          </m:sub>
        </m:sSub>
        <m:r>
          <w:rPr>
            <w:rFonts w:ascii="Cambria Math" w:hAnsi="Cambria Math" w:cs="Times New Roman"/>
            <w:sz w:val="24"/>
            <w:szCs w:val="24"/>
            <w:lang w:val="en-GB"/>
          </w:rPr>
          <m:t>,</m:t>
        </m:r>
      </m:oMath>
      <w:r w:rsidR="00CA489B" w:rsidRPr="007D2E18">
        <w:rPr>
          <w:rFonts w:ascii="Times New Roman" w:eastAsiaTheme="minorEastAsia" w:hAnsi="Times New Roman" w:cs="Times New Roman"/>
          <w:iCs/>
          <w:sz w:val="24"/>
          <w:szCs w:val="24"/>
          <w:lang w:val="en-GB"/>
        </w:rPr>
        <w:tab/>
        <w:t>(9)</w:t>
      </w:r>
    </w:p>
    <w:p w14:paraId="55E5C842" w14:textId="77777777" w:rsidR="00CA489B" w:rsidRPr="007D2E18" w:rsidRDefault="00CA489B" w:rsidP="00A456AE">
      <w:pPr>
        <w:spacing w:after="0" w:line="240" w:lineRule="auto"/>
        <w:jc w:val="both"/>
        <w:rPr>
          <w:rFonts w:ascii="Times New Roman" w:hAnsi="Times New Roman" w:cs="Times New Roman"/>
          <w:sz w:val="24"/>
          <w:szCs w:val="24"/>
          <w:lang w:val="en-GB"/>
        </w:rPr>
      </w:pPr>
    </w:p>
    <w:p w14:paraId="53D1A7A1" w14:textId="24EE501D" w:rsidR="0085000C"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These are the pseudovalues that configure the jackknife estimator, corresponding to the mean of those pseudovalues with a standard deviation equivalent to the standard deviation calculated for </w:t>
      </w:r>
      <m:oMath>
        <m:acc>
          <m:accPr>
            <m:ctrlPr>
              <w:rPr>
                <w:rFonts w:ascii="Cambria Math" w:hAnsi="Cambria Math" w:cs="Times New Roman"/>
                <w:i/>
                <w:iCs/>
                <w:sz w:val="24"/>
                <w:szCs w:val="24"/>
                <w:lang w:val="en-GB"/>
              </w:rPr>
            </m:ctrlPr>
          </m:accPr>
          <m:e>
            <m:r>
              <w:rPr>
                <w:rFonts w:ascii="Cambria Math" w:hAnsi="Cambria Math" w:cs="Times New Roman"/>
                <w:sz w:val="24"/>
                <w:szCs w:val="24"/>
                <w:lang w:val="en-GB"/>
              </w:rPr>
              <m:t>θ</m:t>
            </m:r>
          </m:e>
        </m:acc>
      </m:oMath>
      <w:r w:rsidRPr="007D2E18">
        <w:rPr>
          <w:rFonts w:ascii="Times New Roman" w:hAnsi="Times New Roman" w:cs="Times New Roman"/>
          <w:sz w:val="24"/>
          <w:szCs w:val="24"/>
          <w:lang w:val="en-GB"/>
        </w:rPr>
        <w:t xml:space="preserve"> (Tukey, 1958):</w:t>
      </w:r>
    </w:p>
    <w:p w14:paraId="1BC587A3" w14:textId="77777777" w:rsidR="00CA489B" w:rsidRPr="007D2E18" w:rsidRDefault="00CA489B" w:rsidP="00A456AE">
      <w:pPr>
        <w:spacing w:after="0" w:line="240" w:lineRule="auto"/>
        <w:jc w:val="both"/>
        <w:rPr>
          <w:rFonts w:ascii="Times New Roman" w:hAnsi="Times New Roman" w:cs="Times New Roman"/>
          <w:sz w:val="24"/>
          <w:szCs w:val="24"/>
          <w:lang w:val="en-GB"/>
        </w:rPr>
      </w:pPr>
    </w:p>
    <w:p w14:paraId="5AE8C023" w14:textId="3E0E8162" w:rsidR="00CA489B" w:rsidRPr="007D2E18" w:rsidRDefault="000C0297" w:rsidP="00A456AE">
      <w:pPr>
        <w:spacing w:after="0" w:line="240" w:lineRule="auto"/>
        <w:jc w:val="both"/>
        <w:rPr>
          <w:rFonts w:ascii="Times New Roman" w:hAnsi="Times New Roman" w:cs="Times New Roman"/>
          <w:sz w:val="24"/>
          <w:szCs w:val="24"/>
          <w:lang w:val="en-GB"/>
        </w:rPr>
      </w:pPr>
      <m:oMath>
        <m:sSup>
          <m:sSupPr>
            <m:ctrlPr>
              <w:rPr>
                <w:rFonts w:ascii="Cambria Math" w:hAnsi="Cambria Math" w:cs="Times New Roman"/>
                <w:i/>
                <w:iCs/>
                <w:sz w:val="24"/>
                <w:szCs w:val="24"/>
                <w:lang w:val="en-GB"/>
              </w:rPr>
            </m:ctrlPr>
          </m:sSupPr>
          <m:e>
            <m:r>
              <m:rPr>
                <m:scr m:val="double-struck"/>
              </m:rPr>
              <w:rPr>
                <w:rFonts w:ascii="Cambria Math" w:hAnsi="Cambria Math" w:cs="Times New Roman"/>
                <w:sz w:val="24"/>
                <w:szCs w:val="24"/>
                <w:lang w:val="en-GB"/>
              </w:rPr>
              <m:t>V</m:t>
            </m:r>
          </m:e>
          <m:sup>
            <m:r>
              <w:rPr>
                <w:rFonts w:ascii="Cambria Math" w:hAnsi="Cambria Math" w:cs="Times New Roman"/>
                <w:sz w:val="24"/>
                <w:szCs w:val="24"/>
                <w:lang w:val="en-GB"/>
              </w:rPr>
              <m:t>Jackknife</m:t>
            </m:r>
          </m:sup>
        </m:sSup>
        <m:d>
          <m:dPr>
            <m:begChr m:val="["/>
            <m:endChr m:val="]"/>
            <m:ctrlPr>
              <w:rPr>
                <w:rFonts w:ascii="Cambria Math" w:hAnsi="Cambria Math" w:cs="Times New Roman"/>
                <w:i/>
                <w:iCs/>
                <w:sz w:val="24"/>
                <w:szCs w:val="24"/>
                <w:lang w:val="en-GB"/>
              </w:rPr>
            </m:ctrlPr>
          </m:dPr>
          <m:e>
            <m:acc>
              <m:accPr>
                <m:ctrlPr>
                  <w:rPr>
                    <w:rFonts w:ascii="Cambria Math" w:hAnsi="Cambria Math" w:cs="Times New Roman"/>
                    <w:i/>
                    <w:iCs/>
                    <w:sz w:val="24"/>
                    <w:szCs w:val="24"/>
                    <w:lang w:val="en-GB"/>
                  </w:rPr>
                </m:ctrlPr>
              </m:accPr>
              <m:e>
                <m:r>
                  <w:rPr>
                    <w:rFonts w:ascii="Cambria Math" w:hAnsi="Cambria Math" w:cs="Times New Roman"/>
                    <w:sz w:val="24"/>
                    <w:szCs w:val="24"/>
                    <w:lang w:val="en-GB"/>
                  </w:rPr>
                  <m:t>β</m:t>
                </m:r>
              </m:e>
            </m:acc>
          </m:e>
        </m:d>
        <m:r>
          <w:rPr>
            <w:rFonts w:ascii="Cambria Math" w:hAnsi="Cambria Math" w:cs="Times New Roman"/>
            <w:sz w:val="24"/>
            <w:szCs w:val="24"/>
            <w:lang w:val="en-GB"/>
          </w:rPr>
          <m:t>=</m:t>
        </m:r>
        <m:d>
          <m:dPr>
            <m:begChr m:val="["/>
            <m:endChr m:val="]"/>
            <m:ctrlPr>
              <w:rPr>
                <w:rFonts w:ascii="Cambria Math" w:hAnsi="Cambria Math" w:cs="Times New Roman"/>
                <w:i/>
                <w:iCs/>
                <w:sz w:val="24"/>
                <w:szCs w:val="24"/>
                <w:lang w:val="en-GB"/>
              </w:rPr>
            </m:ctrlPr>
          </m:dPr>
          <m:e>
            <m:f>
              <m:fPr>
                <m:ctrlPr>
                  <w:rPr>
                    <w:rFonts w:ascii="Cambria Math" w:hAnsi="Cambria Math" w:cs="Times New Roman"/>
                    <w:i/>
                    <w:iCs/>
                    <w:sz w:val="24"/>
                    <w:szCs w:val="24"/>
                    <w:lang w:val="en-GB"/>
                  </w:rPr>
                </m:ctrlPr>
              </m:fPr>
              <m:num>
                <m:r>
                  <w:rPr>
                    <w:rFonts w:ascii="Cambria Math" w:hAnsi="Cambria Math" w:cs="Times New Roman"/>
                    <w:sz w:val="24"/>
                    <w:szCs w:val="24"/>
                    <w:lang w:val="en-GB"/>
                  </w:rPr>
                  <m:t>T-1</m:t>
                </m:r>
              </m:num>
              <m:den>
                <m:r>
                  <w:rPr>
                    <w:rFonts w:ascii="Cambria Math" w:hAnsi="Cambria Math" w:cs="Times New Roman"/>
                    <w:sz w:val="24"/>
                    <w:szCs w:val="24"/>
                    <w:lang w:val="en-GB"/>
                  </w:rPr>
                  <m:t>T</m:t>
                </m:r>
              </m:den>
            </m:f>
          </m:e>
        </m:d>
        <m:nary>
          <m:naryPr>
            <m:chr m:val="∑"/>
            <m:limLoc m:val="undOvr"/>
            <m:ctrlPr>
              <w:rPr>
                <w:rFonts w:ascii="Cambria Math" w:hAnsi="Cambria Math" w:cs="Times New Roman"/>
                <w:i/>
                <w:iCs/>
                <w:sz w:val="24"/>
                <w:szCs w:val="24"/>
                <w:lang w:val="en-GB"/>
              </w:rPr>
            </m:ctrlPr>
          </m:naryPr>
          <m:sub>
            <m:r>
              <w:rPr>
                <w:rFonts w:ascii="Cambria Math" w:hAnsi="Cambria Math" w:cs="Times New Roman"/>
                <w:sz w:val="24"/>
                <w:szCs w:val="24"/>
                <w:lang w:val="en-GB"/>
              </w:rPr>
              <m:t>i=1</m:t>
            </m:r>
          </m:sub>
          <m:sup>
            <m:r>
              <w:rPr>
                <w:rFonts w:ascii="Cambria Math" w:hAnsi="Cambria Math" w:cs="Times New Roman"/>
                <w:sz w:val="24"/>
                <w:szCs w:val="24"/>
                <w:lang w:val="en-GB"/>
              </w:rPr>
              <m:t>T</m:t>
            </m:r>
          </m:sup>
          <m:e>
            <m:sSup>
              <m:sSupPr>
                <m:ctrlPr>
                  <w:rPr>
                    <w:rFonts w:ascii="Cambria Math" w:hAnsi="Cambria Math" w:cs="Times New Roman"/>
                    <w:i/>
                    <w:iCs/>
                    <w:sz w:val="24"/>
                    <w:szCs w:val="24"/>
                    <w:lang w:val="en-GB"/>
                  </w:rPr>
                </m:ctrlPr>
              </m:sSupPr>
              <m:e>
                <m:d>
                  <m:dPr>
                    <m:ctrlPr>
                      <w:rPr>
                        <w:rFonts w:ascii="Cambria Math" w:hAnsi="Cambria Math" w:cs="Times New Roman"/>
                        <w:i/>
                        <w:iCs/>
                        <w:sz w:val="24"/>
                        <w:szCs w:val="24"/>
                        <w:lang w:val="en-GB"/>
                      </w:rPr>
                    </m:ctrlPr>
                  </m:dPr>
                  <m:e>
                    <m:sSub>
                      <m:sSubPr>
                        <m:ctrlPr>
                          <w:rPr>
                            <w:rFonts w:ascii="Cambria Math" w:hAnsi="Cambria Math" w:cs="Times New Roman"/>
                            <w:i/>
                            <w:iCs/>
                            <w:sz w:val="24"/>
                            <w:szCs w:val="24"/>
                            <w:lang w:val="en-GB"/>
                          </w:rPr>
                        </m:ctrlPr>
                      </m:sSubPr>
                      <m:e>
                        <m:acc>
                          <m:accPr>
                            <m:ctrlPr>
                              <w:rPr>
                                <w:rFonts w:ascii="Cambria Math" w:hAnsi="Cambria Math" w:cs="Times New Roman"/>
                                <w:i/>
                                <w:iCs/>
                                <w:sz w:val="24"/>
                                <w:szCs w:val="24"/>
                                <w:lang w:val="en-GB"/>
                              </w:rPr>
                            </m:ctrlPr>
                          </m:accPr>
                          <m:e>
                            <m:r>
                              <w:rPr>
                                <w:rFonts w:ascii="Cambria Math" w:hAnsi="Cambria Math" w:cs="Times New Roman"/>
                                <w:sz w:val="24"/>
                                <w:szCs w:val="24"/>
                                <w:lang w:val="en-GB"/>
                              </w:rPr>
                              <m:t>θ</m:t>
                            </m:r>
                          </m:e>
                        </m:acc>
                      </m:e>
                      <m:sub>
                        <m:r>
                          <w:rPr>
                            <w:rFonts w:ascii="Cambria Math" w:hAnsi="Cambria Math" w:cs="Times New Roman"/>
                            <w:sz w:val="24"/>
                            <w:szCs w:val="24"/>
                            <w:lang w:val="en-GB"/>
                          </w:rPr>
                          <m:t>(i)</m:t>
                        </m:r>
                      </m:sub>
                    </m:sSub>
                    <m:r>
                      <w:rPr>
                        <w:rFonts w:ascii="Cambria Math" w:hAnsi="Cambria Math" w:cs="Times New Roman"/>
                        <w:sz w:val="24"/>
                        <w:szCs w:val="24"/>
                        <w:lang w:val="en-GB"/>
                      </w:rPr>
                      <m:t>-</m:t>
                    </m:r>
                    <m:bar>
                      <m:barPr>
                        <m:pos m:val="top"/>
                        <m:ctrlPr>
                          <w:rPr>
                            <w:rFonts w:ascii="Cambria Math" w:hAnsi="Cambria Math" w:cs="Times New Roman"/>
                            <w:i/>
                            <w:iCs/>
                            <w:sz w:val="24"/>
                            <w:szCs w:val="24"/>
                            <w:lang w:val="en-GB"/>
                          </w:rPr>
                        </m:ctrlPr>
                      </m:barPr>
                      <m:e>
                        <m:acc>
                          <m:accPr>
                            <m:ctrlPr>
                              <w:rPr>
                                <w:rFonts w:ascii="Cambria Math" w:hAnsi="Cambria Math" w:cs="Times New Roman"/>
                                <w:i/>
                                <w:iCs/>
                                <w:sz w:val="24"/>
                                <w:szCs w:val="24"/>
                                <w:lang w:val="en-GB"/>
                              </w:rPr>
                            </m:ctrlPr>
                          </m:accPr>
                          <m:e>
                            <m:r>
                              <w:rPr>
                                <w:rFonts w:ascii="Cambria Math" w:hAnsi="Cambria Math" w:cs="Times New Roman"/>
                                <w:sz w:val="24"/>
                                <w:szCs w:val="24"/>
                                <w:lang w:val="en-GB"/>
                              </w:rPr>
                              <m:t>θ</m:t>
                            </m:r>
                          </m:e>
                        </m:acc>
                      </m:e>
                    </m:bar>
                  </m:e>
                </m:d>
              </m:e>
              <m:sup>
                <m:r>
                  <w:rPr>
                    <w:rFonts w:ascii="Cambria Math" w:hAnsi="Cambria Math" w:cs="Times New Roman"/>
                    <w:sz w:val="24"/>
                    <w:szCs w:val="24"/>
                    <w:lang w:val="en-GB"/>
                  </w:rPr>
                  <m:t>2</m:t>
                </m:r>
              </m:sup>
            </m:sSup>
          </m:e>
        </m:nary>
        <m:r>
          <w:rPr>
            <w:rFonts w:ascii="Cambria Math" w:eastAsiaTheme="minorEastAsia" w:hAnsi="Cambria Math" w:cs="Times New Roman"/>
            <w:sz w:val="24"/>
            <w:szCs w:val="24"/>
            <w:lang w:val="en-GB"/>
          </w:rPr>
          <m:t>.</m:t>
        </m:r>
      </m:oMath>
      <w:r w:rsidR="002D0B56" w:rsidRPr="007D2E18">
        <w:rPr>
          <w:rFonts w:ascii="Times New Roman" w:eastAsiaTheme="minorEastAsia" w:hAnsi="Times New Roman" w:cs="Times New Roman"/>
          <w:iCs/>
          <w:sz w:val="24"/>
          <w:szCs w:val="24"/>
          <w:lang w:val="en-GB"/>
        </w:rPr>
        <w:tab/>
        <w:t>(10)</w:t>
      </w:r>
    </w:p>
    <w:p w14:paraId="1B335E06" w14:textId="77777777" w:rsidR="00CA489B" w:rsidRPr="007D2E18" w:rsidRDefault="00CA489B" w:rsidP="00A456AE">
      <w:pPr>
        <w:spacing w:after="0" w:line="240" w:lineRule="auto"/>
        <w:jc w:val="both"/>
        <w:rPr>
          <w:rFonts w:ascii="Times New Roman" w:hAnsi="Times New Roman" w:cs="Times New Roman"/>
          <w:sz w:val="24"/>
          <w:szCs w:val="24"/>
          <w:lang w:val="en-GB"/>
        </w:rPr>
      </w:pPr>
    </w:p>
    <w:p w14:paraId="26DB69C7" w14:textId="366D6D5C" w:rsidR="0085000C"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As is possible noticing, the jackknife estimator is a valid alternative dealing with heteroskedasticity and the over-representation that few observations could have in a short-sample environment; but not necessarily dealing better than the Newey-West estimator under serial correlation. For this reason, our baseline estimates are based on the Newey-West estimator, whereas jackknife-based results are available for robustness only.</w:t>
      </w:r>
    </w:p>
    <w:p w14:paraId="1F0943C2" w14:textId="77777777" w:rsidR="002D0B56" w:rsidRPr="007D2E18" w:rsidRDefault="002D0B56" w:rsidP="00A456AE">
      <w:pPr>
        <w:spacing w:after="0" w:line="240" w:lineRule="auto"/>
        <w:jc w:val="both"/>
        <w:rPr>
          <w:rFonts w:ascii="Times New Roman" w:hAnsi="Times New Roman" w:cs="Times New Roman"/>
          <w:sz w:val="24"/>
          <w:szCs w:val="24"/>
          <w:lang w:val="en-GB"/>
        </w:rPr>
      </w:pPr>
    </w:p>
    <w:p w14:paraId="4A75ADD7" w14:textId="7A92C5EB" w:rsidR="0085000C" w:rsidRPr="007D2E18" w:rsidRDefault="002D0B56" w:rsidP="00A456AE">
      <w:pPr>
        <w:spacing w:after="0" w:line="240" w:lineRule="auto"/>
        <w:jc w:val="both"/>
        <w:rPr>
          <w:rFonts w:ascii="Times New Roman" w:hAnsi="Times New Roman" w:cs="Times New Roman"/>
          <w:b/>
          <w:bCs/>
          <w:sz w:val="24"/>
          <w:szCs w:val="24"/>
          <w:lang w:val="en-GB"/>
        </w:rPr>
      </w:pPr>
      <w:r w:rsidRPr="007D2E18">
        <w:rPr>
          <w:rFonts w:ascii="Times New Roman" w:hAnsi="Times New Roman" w:cs="Times New Roman"/>
          <w:b/>
          <w:bCs/>
          <w:sz w:val="24"/>
          <w:szCs w:val="24"/>
          <w:lang w:val="en-GB"/>
        </w:rPr>
        <w:t xml:space="preserve">3.3. </w:t>
      </w:r>
      <w:r w:rsidR="0085000C" w:rsidRPr="007D2E18">
        <w:rPr>
          <w:rFonts w:ascii="Times New Roman" w:hAnsi="Times New Roman" w:cs="Times New Roman"/>
          <w:b/>
          <w:bCs/>
          <w:sz w:val="24"/>
          <w:szCs w:val="24"/>
          <w:lang w:val="en-GB"/>
        </w:rPr>
        <w:t>An application to the oil market</w:t>
      </w:r>
    </w:p>
    <w:p w14:paraId="41781530" w14:textId="77777777" w:rsidR="002D0B56" w:rsidRPr="007D2E18" w:rsidRDefault="002D0B56" w:rsidP="00A456AE">
      <w:pPr>
        <w:spacing w:after="0" w:line="240" w:lineRule="auto"/>
        <w:jc w:val="both"/>
        <w:rPr>
          <w:rFonts w:ascii="Times New Roman" w:hAnsi="Times New Roman" w:cs="Times New Roman"/>
          <w:sz w:val="24"/>
          <w:szCs w:val="24"/>
          <w:lang w:val="en-GB"/>
        </w:rPr>
      </w:pPr>
    </w:p>
    <w:p w14:paraId="2D3EE281" w14:textId="77777777" w:rsidR="002D0B56"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We label our measure of geopolitical tensions and news as </w:t>
      </w:r>
      <w:r w:rsidR="002D0B56" w:rsidRPr="007D2E18">
        <w:rPr>
          <w:rFonts w:ascii="Times New Roman" w:hAnsi="Times New Roman" w:cs="Times New Roman"/>
          <w:sz w:val="24"/>
          <w:szCs w:val="24"/>
          <w:lang w:val="en-GB"/>
        </w:rPr>
        <w:t>“</w:t>
      </w:r>
      <w:r w:rsidRPr="007D2E18">
        <w:rPr>
          <w:rFonts w:ascii="Times New Roman" w:hAnsi="Times New Roman" w:cs="Times New Roman"/>
          <w:i/>
          <w:iCs/>
          <w:sz w:val="24"/>
          <w:szCs w:val="24"/>
          <w:lang w:val="en-GB"/>
        </w:rPr>
        <w:t>GT&amp;N</w:t>
      </w:r>
      <w:r w:rsidR="002D0B56"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 xml:space="preserve"> which is constructed, as mentioned above, as the sum of 10 dummy variables related to the oil market. Adding specific 9 out of 10 non-OPEC related variables we generate the </w:t>
      </w:r>
      <w:r w:rsidR="002D0B56" w:rsidRPr="007D2E18">
        <w:rPr>
          <w:rFonts w:ascii="Times New Roman" w:hAnsi="Times New Roman" w:cs="Times New Roman"/>
          <w:sz w:val="24"/>
          <w:szCs w:val="24"/>
          <w:lang w:val="en-GB"/>
        </w:rPr>
        <w:t>“</w:t>
      </w:r>
      <w:r w:rsidRPr="007D2E18">
        <w:rPr>
          <w:rFonts w:ascii="Times New Roman" w:hAnsi="Times New Roman" w:cs="Times New Roman"/>
          <w:i/>
          <w:iCs/>
          <w:sz w:val="24"/>
          <w:szCs w:val="24"/>
          <w:lang w:val="en-GB"/>
        </w:rPr>
        <w:t>GT&amp;N-NO</w:t>
      </w:r>
      <w:r w:rsidR="002D0B56"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 xml:space="preserve"> variable, while the remaining dummy concerning purely OPEC is labelled as </w:t>
      </w:r>
      <w:r w:rsidR="002D0B56" w:rsidRPr="007D2E18">
        <w:rPr>
          <w:rFonts w:ascii="Times New Roman" w:hAnsi="Times New Roman" w:cs="Times New Roman"/>
          <w:sz w:val="24"/>
          <w:szCs w:val="24"/>
          <w:lang w:val="en-GB"/>
        </w:rPr>
        <w:t>“</w:t>
      </w:r>
      <w:r w:rsidRPr="007D2E18">
        <w:rPr>
          <w:rFonts w:ascii="Times New Roman" w:hAnsi="Times New Roman" w:cs="Times New Roman"/>
          <w:i/>
          <w:iCs/>
          <w:sz w:val="24"/>
          <w:szCs w:val="24"/>
          <w:lang w:val="en-GB"/>
        </w:rPr>
        <w:t>GT&amp;N-O</w:t>
      </w:r>
      <w:r w:rsidR="002D0B56"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 xml:space="preserve"> (thus, </w:t>
      </w:r>
      <w:r w:rsidRPr="007D2E18">
        <w:rPr>
          <w:rFonts w:ascii="Times New Roman" w:hAnsi="Times New Roman" w:cs="Times New Roman"/>
          <w:i/>
          <w:iCs/>
          <w:sz w:val="24"/>
          <w:szCs w:val="24"/>
          <w:lang w:val="en-GB"/>
        </w:rPr>
        <w:t>GT&amp;N</w:t>
      </w:r>
      <w:r w:rsidRPr="007D2E18">
        <w:rPr>
          <w:rFonts w:ascii="Times New Roman" w:hAnsi="Times New Roman" w:cs="Times New Roman"/>
          <w:sz w:val="24"/>
          <w:szCs w:val="24"/>
          <w:lang w:val="en-GB"/>
        </w:rPr>
        <w:t xml:space="preserve"> = </w:t>
      </w:r>
      <w:r w:rsidRPr="007D2E18">
        <w:rPr>
          <w:rFonts w:ascii="Times New Roman" w:hAnsi="Times New Roman" w:cs="Times New Roman"/>
          <w:i/>
          <w:iCs/>
          <w:sz w:val="24"/>
          <w:szCs w:val="24"/>
          <w:lang w:val="en-GB"/>
        </w:rPr>
        <w:t>GT&amp;N-O</w:t>
      </w:r>
      <w:r w:rsidRPr="007D2E18">
        <w:rPr>
          <w:rFonts w:ascii="Times New Roman" w:hAnsi="Times New Roman" w:cs="Times New Roman"/>
          <w:sz w:val="24"/>
          <w:szCs w:val="24"/>
          <w:lang w:val="en-GB"/>
        </w:rPr>
        <w:t xml:space="preserve"> + </w:t>
      </w:r>
      <w:r w:rsidRPr="007D2E18">
        <w:rPr>
          <w:rFonts w:ascii="Times New Roman" w:hAnsi="Times New Roman" w:cs="Times New Roman"/>
          <w:i/>
          <w:iCs/>
          <w:sz w:val="24"/>
          <w:szCs w:val="24"/>
          <w:lang w:val="en-GB"/>
        </w:rPr>
        <w:t>GT&amp;N-NO</w:t>
      </w:r>
      <w:r w:rsidRPr="007D2E18">
        <w:rPr>
          <w:rFonts w:ascii="Times New Roman" w:hAnsi="Times New Roman" w:cs="Times New Roman"/>
          <w:sz w:val="24"/>
          <w:szCs w:val="24"/>
          <w:lang w:val="en-GB"/>
        </w:rPr>
        <w:t>); see Table 1.</w:t>
      </w:r>
    </w:p>
    <w:p w14:paraId="499BE477" w14:textId="77777777" w:rsidR="002D0B56" w:rsidRPr="007D2E18" w:rsidRDefault="002D0B56" w:rsidP="00A456AE">
      <w:pPr>
        <w:spacing w:after="0" w:line="240" w:lineRule="auto"/>
        <w:jc w:val="both"/>
        <w:rPr>
          <w:rFonts w:ascii="Times New Roman" w:hAnsi="Times New Roman" w:cs="Times New Roman"/>
          <w:sz w:val="24"/>
          <w:szCs w:val="24"/>
          <w:lang w:val="en-GB"/>
        </w:rPr>
      </w:pPr>
    </w:p>
    <w:p w14:paraId="04FC7AAA" w14:textId="60842C14" w:rsidR="0085000C"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By means of Granger causality we provide evidence on the following hypotheses:</w:t>
      </w:r>
    </w:p>
    <w:p w14:paraId="76BC8BD0" w14:textId="1FD0B322" w:rsidR="0085000C" w:rsidRPr="007D2E18" w:rsidRDefault="0085000C" w:rsidP="002D0B56">
      <w:pPr>
        <w:pStyle w:val="Prrafodelista"/>
        <w:numPr>
          <w:ilvl w:val="0"/>
          <w:numId w:val="2"/>
        </w:numPr>
        <w:spacing w:after="0" w:line="240" w:lineRule="auto"/>
        <w:jc w:val="both"/>
        <w:rPr>
          <w:rFonts w:ascii="Times New Roman" w:hAnsi="Times New Roman" w:cs="Times New Roman"/>
          <w:sz w:val="24"/>
          <w:szCs w:val="24"/>
          <w:lang w:val="en-GB"/>
        </w:rPr>
      </w:pPr>
      <w:r w:rsidRPr="007D2E18">
        <w:rPr>
          <w:rFonts w:ascii="Times New Roman" w:hAnsi="Times New Roman" w:cs="Times New Roman"/>
          <w:i/>
          <w:iCs/>
          <w:sz w:val="24"/>
          <w:szCs w:val="24"/>
          <w:lang w:val="en-GB"/>
        </w:rPr>
        <w:t>H1</w:t>
      </w:r>
      <w:r w:rsidRPr="007D2E18">
        <w:rPr>
          <w:rFonts w:ascii="Times New Roman" w:hAnsi="Times New Roman" w:cs="Times New Roman"/>
          <w:sz w:val="24"/>
          <w:szCs w:val="24"/>
          <w:lang w:val="en-GB"/>
        </w:rPr>
        <w:t xml:space="preserve">: Do </w:t>
      </w:r>
      <w:r w:rsidRPr="007D2E18">
        <w:rPr>
          <w:rFonts w:ascii="Times New Roman" w:hAnsi="Times New Roman" w:cs="Times New Roman"/>
          <w:i/>
          <w:iCs/>
          <w:sz w:val="24"/>
          <w:szCs w:val="24"/>
          <w:lang w:val="en-GB"/>
        </w:rPr>
        <w:t>GT&amp;N</w:t>
      </w:r>
      <w:r w:rsidRPr="007D2E18">
        <w:rPr>
          <w:rFonts w:ascii="Times New Roman" w:hAnsi="Times New Roman" w:cs="Times New Roman"/>
          <w:sz w:val="24"/>
          <w:szCs w:val="24"/>
          <w:lang w:val="en-GB"/>
        </w:rPr>
        <w:t xml:space="preserve"> cause the Brent oil price (</w:t>
      </w:r>
      <m:oMath>
        <m:sSup>
          <m:sSupPr>
            <m:ctrlPr>
              <w:rPr>
                <w:rFonts w:ascii="Cambria Math" w:hAnsi="Cambria Math" w:cs="Times New Roman"/>
                <w:i/>
                <w:iCs/>
                <w:sz w:val="24"/>
                <w:szCs w:val="24"/>
                <w:lang w:val="en-GB"/>
              </w:rPr>
            </m:ctrlPr>
          </m:sSupPr>
          <m:e>
            <m:r>
              <w:rPr>
                <w:rFonts w:ascii="Cambria Math" w:hAnsi="Cambria Math" w:cs="Times New Roman"/>
                <w:sz w:val="24"/>
                <w:szCs w:val="24"/>
                <w:lang w:val="en-GB"/>
              </w:rPr>
              <m:t>P</m:t>
            </m:r>
          </m:e>
          <m:sup>
            <m:r>
              <w:rPr>
                <w:rFonts w:ascii="Cambria Math" w:hAnsi="Cambria Math" w:cs="Times New Roman"/>
                <w:sz w:val="24"/>
                <w:szCs w:val="24"/>
                <w:lang w:val="en-GB"/>
              </w:rPr>
              <m:t>Oil</m:t>
            </m:r>
          </m:sup>
        </m:sSup>
      </m:oMath>
      <w:r w:rsidRPr="007D2E18">
        <w:rPr>
          <w:rFonts w:ascii="Times New Roman" w:hAnsi="Times New Roman" w:cs="Times New Roman"/>
          <w:sz w:val="24"/>
          <w:szCs w:val="24"/>
          <w:lang w:val="en-GB"/>
        </w:rPr>
        <w:t xml:space="preserve">): </w:t>
      </w:r>
      <m:oMath>
        <m:sSup>
          <m:sSupPr>
            <m:ctrlPr>
              <w:rPr>
                <w:rFonts w:ascii="Cambria Math" w:hAnsi="Cambria Math" w:cs="Times New Roman"/>
                <w:i/>
                <w:iCs/>
                <w:sz w:val="24"/>
                <w:szCs w:val="24"/>
                <w:lang w:val="en-GB"/>
              </w:rPr>
            </m:ctrlPr>
          </m:sSupPr>
          <m:e>
            <m:r>
              <w:rPr>
                <w:rFonts w:ascii="Cambria Math" w:hAnsi="Cambria Math" w:cs="Times New Roman"/>
                <w:sz w:val="24"/>
                <w:szCs w:val="24"/>
                <w:lang w:val="en-GB"/>
              </w:rPr>
              <m:t>GT&amp;N→P</m:t>
            </m:r>
          </m:e>
          <m:sup>
            <m:r>
              <w:rPr>
                <w:rFonts w:ascii="Cambria Math" w:hAnsi="Cambria Math" w:cs="Times New Roman"/>
                <w:sz w:val="24"/>
                <w:szCs w:val="24"/>
                <w:lang w:val="en-GB"/>
              </w:rPr>
              <m:t>Oil</m:t>
            </m:r>
          </m:sup>
        </m:sSup>
      </m:oMath>
      <w:r w:rsidRPr="007D2E18">
        <w:rPr>
          <w:rFonts w:ascii="Times New Roman" w:hAnsi="Times New Roman" w:cs="Times New Roman"/>
          <w:sz w:val="24"/>
          <w:szCs w:val="24"/>
          <w:lang w:val="en-GB"/>
        </w:rPr>
        <w:t>?</w:t>
      </w:r>
    </w:p>
    <w:p w14:paraId="3A4CAC6A" w14:textId="0496630C" w:rsidR="0085000C" w:rsidRPr="007D2E18" w:rsidRDefault="0085000C" w:rsidP="002D0B56">
      <w:pPr>
        <w:pStyle w:val="Prrafodelista"/>
        <w:numPr>
          <w:ilvl w:val="0"/>
          <w:numId w:val="2"/>
        </w:numPr>
        <w:spacing w:after="0" w:line="240" w:lineRule="auto"/>
        <w:jc w:val="both"/>
        <w:rPr>
          <w:rFonts w:ascii="Times New Roman" w:hAnsi="Times New Roman" w:cs="Times New Roman"/>
          <w:sz w:val="24"/>
          <w:szCs w:val="24"/>
          <w:lang w:val="en-GB"/>
        </w:rPr>
      </w:pPr>
      <w:r w:rsidRPr="007D2E18">
        <w:rPr>
          <w:rFonts w:ascii="Times New Roman" w:hAnsi="Times New Roman" w:cs="Times New Roman"/>
          <w:i/>
          <w:iCs/>
          <w:sz w:val="24"/>
          <w:szCs w:val="24"/>
          <w:lang w:val="en-GB"/>
        </w:rPr>
        <w:t>H2</w:t>
      </w:r>
      <w:r w:rsidRPr="007D2E18">
        <w:rPr>
          <w:rFonts w:ascii="Times New Roman" w:hAnsi="Times New Roman" w:cs="Times New Roman"/>
          <w:sz w:val="24"/>
          <w:szCs w:val="24"/>
          <w:lang w:val="en-GB"/>
        </w:rPr>
        <w:t xml:space="preserve">: Do </w:t>
      </w:r>
      <w:r w:rsidRPr="007D2E18">
        <w:rPr>
          <w:rFonts w:ascii="Times New Roman" w:hAnsi="Times New Roman" w:cs="Times New Roman"/>
          <w:i/>
          <w:iCs/>
          <w:sz w:val="24"/>
          <w:szCs w:val="24"/>
          <w:lang w:val="en-GB"/>
        </w:rPr>
        <w:t>GT&amp;N</w:t>
      </w:r>
      <w:r w:rsidRPr="007D2E18">
        <w:rPr>
          <w:rFonts w:ascii="Times New Roman" w:hAnsi="Times New Roman" w:cs="Times New Roman"/>
          <w:sz w:val="24"/>
          <w:szCs w:val="24"/>
          <w:lang w:val="en-GB"/>
        </w:rPr>
        <w:t xml:space="preserve"> cause oil price forecasts (</w:t>
      </w:r>
      <m:oMath>
        <m:r>
          <m:rPr>
            <m:scr m:val="double-struck"/>
          </m:rPr>
          <w:rPr>
            <w:rFonts w:ascii="Cambria Math" w:hAnsi="Cambria Math" w:cs="Times New Roman"/>
            <w:sz w:val="24"/>
            <w:szCs w:val="24"/>
            <w:lang w:val="en-GB"/>
          </w:rPr>
          <m:t>E</m:t>
        </m:r>
        <m:d>
          <m:dPr>
            <m:begChr m:val="["/>
            <m:endChr m:val="]"/>
            <m:ctrlPr>
              <w:rPr>
                <w:rFonts w:ascii="Cambria Math" w:hAnsi="Cambria Math" w:cs="Times New Roman"/>
                <w:i/>
                <w:iCs/>
                <w:sz w:val="24"/>
                <w:szCs w:val="24"/>
                <w:lang w:val="en-GB"/>
              </w:rPr>
            </m:ctrlPr>
          </m:dPr>
          <m:e>
            <m:sSup>
              <m:sSupPr>
                <m:ctrlPr>
                  <w:rPr>
                    <w:rFonts w:ascii="Cambria Math" w:hAnsi="Cambria Math" w:cs="Times New Roman"/>
                    <w:i/>
                    <w:iCs/>
                    <w:sz w:val="24"/>
                    <w:szCs w:val="24"/>
                    <w:lang w:val="en-GB"/>
                  </w:rPr>
                </m:ctrlPr>
              </m:sSupPr>
              <m:e>
                <m:r>
                  <w:rPr>
                    <w:rFonts w:ascii="Cambria Math" w:hAnsi="Cambria Math" w:cs="Times New Roman"/>
                    <w:sz w:val="24"/>
                    <w:szCs w:val="24"/>
                    <w:lang w:val="en-GB"/>
                  </w:rPr>
                  <m:t>P</m:t>
                </m:r>
              </m:e>
              <m:sup>
                <m:r>
                  <w:rPr>
                    <w:rFonts w:ascii="Cambria Math" w:hAnsi="Cambria Math" w:cs="Times New Roman"/>
                    <w:sz w:val="24"/>
                    <w:szCs w:val="24"/>
                    <w:lang w:val="en-GB"/>
                  </w:rPr>
                  <m:t>Oil</m:t>
                </m:r>
              </m:sup>
            </m:sSup>
          </m:e>
        </m:d>
      </m:oMath>
      <w:r w:rsidRPr="007D2E18">
        <w:rPr>
          <w:rFonts w:ascii="Times New Roman" w:hAnsi="Times New Roman" w:cs="Times New Roman"/>
          <w:sz w:val="24"/>
          <w:szCs w:val="24"/>
          <w:lang w:val="en-GB"/>
        </w:rPr>
        <w:t>):</w:t>
      </w:r>
      <m:oMath>
        <m:r>
          <w:rPr>
            <w:rFonts w:ascii="Cambria Math" w:hAnsi="Cambria Math" w:cs="Times New Roman"/>
            <w:sz w:val="24"/>
            <w:szCs w:val="24"/>
            <w:lang w:val="en-GB"/>
          </w:rPr>
          <m:t xml:space="preserve"> GT&amp;N→</m:t>
        </m:r>
        <m:r>
          <m:rPr>
            <m:scr m:val="double-struck"/>
          </m:rPr>
          <w:rPr>
            <w:rFonts w:ascii="Cambria Math" w:hAnsi="Cambria Math" w:cs="Times New Roman"/>
            <w:sz w:val="24"/>
            <w:szCs w:val="24"/>
            <w:lang w:val="en-GB"/>
          </w:rPr>
          <m:t>E</m:t>
        </m:r>
        <m:d>
          <m:dPr>
            <m:begChr m:val="["/>
            <m:endChr m:val="]"/>
            <m:ctrlPr>
              <w:rPr>
                <w:rFonts w:ascii="Cambria Math" w:hAnsi="Cambria Math" w:cs="Times New Roman"/>
                <w:i/>
                <w:iCs/>
                <w:sz w:val="24"/>
                <w:szCs w:val="24"/>
                <w:lang w:val="en-GB"/>
              </w:rPr>
            </m:ctrlPr>
          </m:dPr>
          <m:e>
            <m:sSup>
              <m:sSupPr>
                <m:ctrlPr>
                  <w:rPr>
                    <w:rFonts w:ascii="Cambria Math" w:hAnsi="Cambria Math" w:cs="Times New Roman"/>
                    <w:i/>
                    <w:iCs/>
                    <w:sz w:val="24"/>
                    <w:szCs w:val="24"/>
                    <w:lang w:val="en-GB"/>
                  </w:rPr>
                </m:ctrlPr>
              </m:sSupPr>
              <m:e>
                <m:r>
                  <w:rPr>
                    <w:rFonts w:ascii="Cambria Math" w:hAnsi="Cambria Math" w:cs="Times New Roman"/>
                    <w:sz w:val="24"/>
                    <w:szCs w:val="24"/>
                    <w:lang w:val="en-GB"/>
                  </w:rPr>
                  <m:t>P</m:t>
                </m:r>
              </m:e>
              <m:sup>
                <m:r>
                  <w:rPr>
                    <w:rFonts w:ascii="Cambria Math" w:hAnsi="Cambria Math" w:cs="Times New Roman"/>
                    <w:sz w:val="24"/>
                    <w:szCs w:val="24"/>
                    <w:lang w:val="en-GB"/>
                  </w:rPr>
                  <m:t>Oil</m:t>
                </m:r>
              </m:sup>
            </m:sSup>
          </m:e>
        </m:d>
      </m:oMath>
      <w:r w:rsidRPr="007D2E18">
        <w:rPr>
          <w:rFonts w:ascii="Times New Roman" w:hAnsi="Times New Roman" w:cs="Times New Roman"/>
          <w:sz w:val="24"/>
          <w:szCs w:val="24"/>
          <w:lang w:val="en-GB"/>
        </w:rPr>
        <w:t>? and</w:t>
      </w:r>
    </w:p>
    <w:p w14:paraId="2A7F301B" w14:textId="7D94A28F" w:rsidR="0085000C" w:rsidRPr="007D2E18" w:rsidRDefault="0085000C" w:rsidP="002D0B56">
      <w:pPr>
        <w:pStyle w:val="Prrafodelista"/>
        <w:numPr>
          <w:ilvl w:val="0"/>
          <w:numId w:val="2"/>
        </w:numPr>
        <w:spacing w:after="0" w:line="240" w:lineRule="auto"/>
        <w:jc w:val="both"/>
        <w:rPr>
          <w:rFonts w:ascii="Times New Roman" w:hAnsi="Times New Roman" w:cs="Times New Roman"/>
          <w:sz w:val="24"/>
          <w:szCs w:val="24"/>
          <w:lang w:val="en-GB"/>
        </w:rPr>
      </w:pPr>
      <w:r w:rsidRPr="007D2E18">
        <w:rPr>
          <w:rFonts w:ascii="Times New Roman" w:hAnsi="Times New Roman" w:cs="Times New Roman"/>
          <w:i/>
          <w:iCs/>
          <w:sz w:val="24"/>
          <w:szCs w:val="24"/>
          <w:lang w:val="en-GB"/>
        </w:rPr>
        <w:t>H3</w:t>
      </w:r>
      <w:r w:rsidRPr="007D2E18">
        <w:rPr>
          <w:rFonts w:ascii="Times New Roman" w:hAnsi="Times New Roman" w:cs="Times New Roman"/>
          <w:sz w:val="24"/>
          <w:szCs w:val="24"/>
          <w:lang w:val="en-GB"/>
        </w:rPr>
        <w:t xml:space="preserve">: Do </w:t>
      </w:r>
      <w:r w:rsidRPr="007D2E18">
        <w:rPr>
          <w:rFonts w:ascii="Times New Roman" w:hAnsi="Times New Roman" w:cs="Times New Roman"/>
          <w:i/>
          <w:iCs/>
          <w:sz w:val="24"/>
          <w:szCs w:val="24"/>
          <w:lang w:val="en-GB"/>
        </w:rPr>
        <w:t>GT&amp;N</w:t>
      </w:r>
      <w:r w:rsidRPr="007D2E18">
        <w:rPr>
          <w:rFonts w:ascii="Times New Roman" w:hAnsi="Times New Roman" w:cs="Times New Roman"/>
          <w:sz w:val="24"/>
          <w:szCs w:val="24"/>
          <w:lang w:val="en-GB"/>
        </w:rPr>
        <w:t xml:space="preserve"> affect the dispersion of oil price forecasts (</w:t>
      </w:r>
      <m:oMath>
        <m:r>
          <m:rPr>
            <m:scr m:val="double-struck"/>
          </m:rPr>
          <w:rPr>
            <w:rFonts w:ascii="Cambria Math" w:hAnsi="Cambria Math" w:cs="Times New Roman"/>
            <w:sz w:val="24"/>
            <w:szCs w:val="24"/>
            <w:lang w:val="en-GB"/>
          </w:rPr>
          <m:t>D</m:t>
        </m:r>
        <m:d>
          <m:dPr>
            <m:begChr m:val="["/>
            <m:endChr m:val="]"/>
            <m:ctrlPr>
              <w:rPr>
                <w:rFonts w:ascii="Cambria Math" w:hAnsi="Cambria Math" w:cs="Times New Roman"/>
                <w:i/>
                <w:iCs/>
                <w:sz w:val="24"/>
                <w:szCs w:val="24"/>
                <w:lang w:val="en-GB"/>
              </w:rPr>
            </m:ctrlPr>
          </m:dPr>
          <m:e>
            <m:sSup>
              <m:sSupPr>
                <m:ctrlPr>
                  <w:rPr>
                    <w:rFonts w:ascii="Cambria Math" w:hAnsi="Cambria Math" w:cs="Times New Roman"/>
                    <w:i/>
                    <w:iCs/>
                    <w:sz w:val="24"/>
                    <w:szCs w:val="24"/>
                    <w:lang w:val="en-GB"/>
                  </w:rPr>
                </m:ctrlPr>
              </m:sSupPr>
              <m:e>
                <m:r>
                  <w:rPr>
                    <w:rFonts w:ascii="Cambria Math" w:hAnsi="Cambria Math" w:cs="Times New Roman"/>
                    <w:sz w:val="24"/>
                    <w:szCs w:val="24"/>
                    <w:lang w:val="en-GB"/>
                  </w:rPr>
                  <m:t>P</m:t>
                </m:r>
              </m:e>
              <m:sup>
                <m:r>
                  <w:rPr>
                    <w:rFonts w:ascii="Cambria Math" w:hAnsi="Cambria Math" w:cs="Times New Roman"/>
                    <w:sz w:val="24"/>
                    <w:szCs w:val="24"/>
                    <w:lang w:val="en-GB"/>
                  </w:rPr>
                  <m:t>Oil</m:t>
                </m:r>
              </m:sup>
            </m:sSup>
          </m:e>
        </m:d>
      </m:oMath>
      <w:r w:rsidRPr="007D2E18">
        <w:rPr>
          <w:rFonts w:ascii="Times New Roman" w:hAnsi="Times New Roman" w:cs="Times New Roman"/>
          <w:sz w:val="24"/>
          <w:szCs w:val="24"/>
          <w:lang w:val="en-GB"/>
        </w:rPr>
        <w:t xml:space="preserve">): </w:t>
      </w:r>
      <m:oMath>
        <m:r>
          <w:rPr>
            <w:rFonts w:ascii="Cambria Math" w:hAnsi="Cambria Math" w:cs="Times New Roman"/>
            <w:sz w:val="24"/>
            <w:szCs w:val="24"/>
            <w:lang w:val="en-GB"/>
          </w:rPr>
          <m:t>GT&amp;N→</m:t>
        </m:r>
        <m:r>
          <m:rPr>
            <m:scr m:val="double-struck"/>
          </m:rPr>
          <w:rPr>
            <w:rFonts w:ascii="Cambria Math" w:hAnsi="Cambria Math" w:cs="Times New Roman"/>
            <w:sz w:val="24"/>
            <w:szCs w:val="24"/>
            <w:lang w:val="en-GB"/>
          </w:rPr>
          <m:t>D</m:t>
        </m:r>
        <m:d>
          <m:dPr>
            <m:begChr m:val="["/>
            <m:endChr m:val="]"/>
            <m:ctrlPr>
              <w:rPr>
                <w:rFonts w:ascii="Cambria Math" w:hAnsi="Cambria Math" w:cs="Times New Roman"/>
                <w:i/>
                <w:iCs/>
                <w:sz w:val="24"/>
                <w:szCs w:val="24"/>
                <w:lang w:val="en-GB"/>
              </w:rPr>
            </m:ctrlPr>
          </m:dPr>
          <m:e>
            <m:sSup>
              <m:sSupPr>
                <m:ctrlPr>
                  <w:rPr>
                    <w:rFonts w:ascii="Cambria Math" w:hAnsi="Cambria Math" w:cs="Times New Roman"/>
                    <w:i/>
                    <w:iCs/>
                    <w:sz w:val="24"/>
                    <w:szCs w:val="24"/>
                    <w:lang w:val="en-GB"/>
                  </w:rPr>
                </m:ctrlPr>
              </m:sSupPr>
              <m:e>
                <m:r>
                  <w:rPr>
                    <w:rFonts w:ascii="Cambria Math" w:hAnsi="Cambria Math" w:cs="Times New Roman"/>
                    <w:sz w:val="24"/>
                    <w:szCs w:val="24"/>
                    <w:lang w:val="en-GB"/>
                  </w:rPr>
                  <m:t>P</m:t>
                </m:r>
              </m:e>
              <m:sup>
                <m:r>
                  <w:rPr>
                    <w:rFonts w:ascii="Cambria Math" w:hAnsi="Cambria Math" w:cs="Times New Roman"/>
                    <w:sz w:val="24"/>
                    <w:szCs w:val="24"/>
                    <w:lang w:val="en-GB"/>
                  </w:rPr>
                  <m:t>Oil</m:t>
                </m:r>
              </m:sup>
            </m:sSup>
          </m:e>
        </m:d>
      </m:oMath>
      <w:r w:rsidRPr="007D2E18">
        <w:rPr>
          <w:rFonts w:ascii="Times New Roman" w:hAnsi="Times New Roman" w:cs="Times New Roman"/>
          <w:sz w:val="24"/>
          <w:szCs w:val="24"/>
          <w:lang w:val="en-GB"/>
        </w:rPr>
        <w:t>?</w:t>
      </w:r>
    </w:p>
    <w:p w14:paraId="5C528693" w14:textId="77777777" w:rsidR="002D0B56" w:rsidRPr="007D2E18" w:rsidRDefault="002D0B56" w:rsidP="00A456AE">
      <w:pPr>
        <w:spacing w:after="0" w:line="240" w:lineRule="auto"/>
        <w:jc w:val="both"/>
        <w:rPr>
          <w:rFonts w:ascii="Times New Roman" w:hAnsi="Times New Roman" w:cs="Times New Roman"/>
          <w:sz w:val="24"/>
          <w:szCs w:val="24"/>
          <w:lang w:val="en-GB"/>
        </w:rPr>
      </w:pPr>
    </w:p>
    <w:p w14:paraId="7AC3F7E9" w14:textId="77777777" w:rsidR="00643DB5"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In order to conclude about the reliability of the </w:t>
      </w:r>
      <w:r w:rsidRPr="007D2E18">
        <w:rPr>
          <w:rFonts w:ascii="Times New Roman" w:hAnsi="Times New Roman" w:cs="Times New Roman"/>
          <w:i/>
          <w:iCs/>
          <w:sz w:val="24"/>
          <w:szCs w:val="24"/>
          <w:lang w:val="en-GB"/>
        </w:rPr>
        <w:t>GT&amp;N</w:t>
      </w:r>
      <w:r w:rsidRPr="007D2E18">
        <w:rPr>
          <w:rFonts w:ascii="Times New Roman" w:hAnsi="Times New Roman" w:cs="Times New Roman"/>
          <w:sz w:val="24"/>
          <w:szCs w:val="24"/>
          <w:lang w:val="en-GB"/>
        </w:rPr>
        <w:t xml:space="preserve"> variable, it is expected that all these hypotheses must have statistical significance in the shown direction. At the same time, a unidirectional relationship is expected in </w:t>
      </w:r>
      <w:r w:rsidRPr="007D2E18">
        <w:rPr>
          <w:rFonts w:ascii="Times New Roman" w:hAnsi="Times New Roman" w:cs="Times New Roman"/>
          <w:i/>
          <w:iCs/>
          <w:sz w:val="24"/>
          <w:szCs w:val="24"/>
          <w:lang w:val="en-GB"/>
        </w:rPr>
        <w:t>H1</w:t>
      </w:r>
      <w:r w:rsidRPr="007D2E18">
        <w:rPr>
          <w:rFonts w:ascii="Times New Roman" w:hAnsi="Times New Roman" w:cs="Times New Roman"/>
          <w:sz w:val="24"/>
          <w:szCs w:val="24"/>
          <w:lang w:val="en-GB"/>
        </w:rPr>
        <w:t xml:space="preserve">, with </w:t>
      </w:r>
      <w:r w:rsidRPr="007D2E18">
        <w:rPr>
          <w:rFonts w:ascii="Times New Roman" w:hAnsi="Times New Roman" w:cs="Times New Roman"/>
          <w:i/>
          <w:iCs/>
          <w:sz w:val="24"/>
          <w:szCs w:val="24"/>
          <w:lang w:val="en-GB"/>
        </w:rPr>
        <w:t>GT&amp;N</w:t>
      </w:r>
      <w:r w:rsidRPr="007D2E18">
        <w:rPr>
          <w:rFonts w:ascii="Times New Roman" w:hAnsi="Times New Roman" w:cs="Times New Roman"/>
          <w:sz w:val="24"/>
          <w:szCs w:val="24"/>
          <w:lang w:val="en-GB"/>
        </w:rPr>
        <w:t xml:space="preserve"> causing </w:t>
      </w:r>
      <m:oMath>
        <m:sSup>
          <m:sSupPr>
            <m:ctrlPr>
              <w:rPr>
                <w:rFonts w:ascii="Cambria Math" w:hAnsi="Cambria Math" w:cs="Times New Roman"/>
                <w:i/>
                <w:iCs/>
                <w:sz w:val="24"/>
                <w:szCs w:val="24"/>
                <w:lang w:val="en-GB"/>
              </w:rPr>
            </m:ctrlPr>
          </m:sSupPr>
          <m:e>
            <m:r>
              <w:rPr>
                <w:rFonts w:ascii="Cambria Math" w:hAnsi="Cambria Math" w:cs="Times New Roman"/>
                <w:sz w:val="24"/>
                <w:szCs w:val="24"/>
                <w:lang w:val="en-GB"/>
              </w:rPr>
              <m:t>P</m:t>
            </m:r>
          </m:e>
          <m:sup>
            <m:r>
              <w:rPr>
                <w:rFonts w:ascii="Cambria Math" w:hAnsi="Cambria Math" w:cs="Times New Roman"/>
                <w:sz w:val="24"/>
                <w:szCs w:val="24"/>
                <w:lang w:val="en-GB"/>
              </w:rPr>
              <m:t>Oil</m:t>
            </m:r>
          </m:sup>
        </m:sSup>
      </m:oMath>
      <w:r w:rsidRPr="007D2E18">
        <w:rPr>
          <w:rFonts w:ascii="Times New Roman" w:hAnsi="Times New Roman" w:cs="Times New Roman"/>
          <w:sz w:val="24"/>
          <w:szCs w:val="24"/>
          <w:lang w:val="en-GB"/>
        </w:rPr>
        <w:t xml:space="preserve"> but not the other way around. This is merely to ensure that </w:t>
      </w:r>
      <w:r w:rsidRPr="007D2E18">
        <w:rPr>
          <w:rFonts w:ascii="Times New Roman" w:hAnsi="Times New Roman" w:cs="Times New Roman"/>
          <w:i/>
          <w:iCs/>
          <w:sz w:val="24"/>
          <w:szCs w:val="24"/>
          <w:lang w:val="en-GB"/>
        </w:rPr>
        <w:t>GT&amp;N</w:t>
      </w:r>
      <w:r w:rsidRPr="007D2E18">
        <w:rPr>
          <w:rFonts w:ascii="Times New Roman" w:hAnsi="Times New Roman" w:cs="Times New Roman"/>
          <w:sz w:val="24"/>
          <w:szCs w:val="24"/>
          <w:lang w:val="en-GB"/>
        </w:rPr>
        <w:t xml:space="preserve"> is exogenous and is actually measuring unexpected news.</w:t>
      </w:r>
    </w:p>
    <w:p w14:paraId="6F13EF69" w14:textId="77777777" w:rsidR="00643DB5" w:rsidRPr="007D2E18" w:rsidRDefault="00643DB5" w:rsidP="00A456AE">
      <w:pPr>
        <w:spacing w:after="0" w:line="240" w:lineRule="auto"/>
        <w:jc w:val="both"/>
        <w:rPr>
          <w:rFonts w:ascii="Times New Roman" w:hAnsi="Times New Roman" w:cs="Times New Roman"/>
          <w:sz w:val="24"/>
          <w:szCs w:val="24"/>
          <w:lang w:val="en-GB"/>
        </w:rPr>
      </w:pPr>
    </w:p>
    <w:p w14:paraId="58167AE0" w14:textId="176674C9" w:rsidR="00643DB5"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If oil price expectations are orthogonal to oil producers</w:t>
      </w:r>
      <w:r w:rsidR="00AF71F7"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 xml:space="preserve"> information set, it should follow that</w:t>
      </w:r>
      <w:r w:rsidR="00643DB5" w:rsidRPr="007D2E18">
        <w:rPr>
          <w:rFonts w:ascii="Times New Roman" w:hAnsi="Times New Roman" w:cs="Times New Roman"/>
          <w:sz w:val="24"/>
          <w:szCs w:val="24"/>
          <w:lang w:val="en-GB"/>
        </w:rPr>
        <w:t xml:space="preserve"> </w:t>
      </w:r>
      <m:oMath>
        <m:r>
          <m:rPr>
            <m:scr m:val="double-struck"/>
          </m:rPr>
          <w:rPr>
            <w:rFonts w:ascii="Cambria Math" w:hAnsi="Cambria Math" w:cs="Times New Roman"/>
            <w:sz w:val="24"/>
            <w:szCs w:val="24"/>
            <w:lang w:val="en-GB"/>
          </w:rPr>
          <m:t>E</m:t>
        </m:r>
        <m:d>
          <m:dPr>
            <m:begChr m:val="["/>
            <m:endChr m:val="]"/>
            <m:ctrlPr>
              <w:rPr>
                <w:rFonts w:ascii="Cambria Math" w:hAnsi="Cambria Math" w:cs="Times New Roman"/>
                <w:i/>
                <w:iCs/>
                <w:sz w:val="24"/>
                <w:szCs w:val="24"/>
                <w:lang w:val="en-GB"/>
              </w:rPr>
            </m:ctrlPr>
          </m:dPr>
          <m:e>
            <m:sSup>
              <m:sSupPr>
                <m:ctrlPr>
                  <w:rPr>
                    <w:rFonts w:ascii="Cambria Math" w:hAnsi="Cambria Math" w:cs="Times New Roman"/>
                    <w:i/>
                    <w:iCs/>
                    <w:sz w:val="24"/>
                    <w:szCs w:val="24"/>
                    <w:lang w:val="en-GB"/>
                  </w:rPr>
                </m:ctrlPr>
              </m:sSupPr>
              <m:e>
                <m:r>
                  <w:rPr>
                    <w:rFonts w:ascii="Cambria Math" w:hAnsi="Cambria Math" w:cs="Times New Roman"/>
                    <w:sz w:val="24"/>
                    <w:szCs w:val="24"/>
                    <w:lang w:val="en-GB"/>
                  </w:rPr>
                  <m:t>P</m:t>
                </m:r>
              </m:e>
              <m:sup>
                <m:r>
                  <w:rPr>
                    <w:rFonts w:ascii="Cambria Math" w:hAnsi="Cambria Math" w:cs="Times New Roman"/>
                    <w:sz w:val="24"/>
                    <w:szCs w:val="24"/>
                    <w:lang w:val="en-GB"/>
                  </w:rPr>
                  <m:t>Oil</m:t>
                </m:r>
              </m:sup>
            </m:sSup>
          </m:e>
        </m:d>
        <m:r>
          <w:rPr>
            <w:rFonts w:ascii="Cambria Math" w:hAnsi="Cambria Math" w:cs="Times New Roman"/>
            <w:sz w:val="24"/>
            <w:szCs w:val="24"/>
            <w:lang w:val="en-GB"/>
          </w:rPr>
          <m:t>↛</m:t>
        </m:r>
        <w:bookmarkStart w:id="2" w:name="_Hlk30068610"/>
        <m:r>
          <w:rPr>
            <w:rFonts w:ascii="Cambria Math" w:hAnsi="Cambria Math" w:cs="Times New Roman"/>
            <w:sz w:val="24"/>
            <w:szCs w:val="24"/>
            <w:lang w:val="en-GB"/>
          </w:rPr>
          <m:t>GT&amp;N</m:t>
        </m:r>
      </m:oMath>
      <w:bookmarkEnd w:id="2"/>
      <w:r w:rsidRPr="007D2E18">
        <w:rPr>
          <w:rFonts w:ascii="Times New Roman" w:hAnsi="Times New Roman" w:cs="Times New Roman"/>
          <w:sz w:val="24"/>
          <w:szCs w:val="24"/>
          <w:lang w:val="en-GB"/>
        </w:rPr>
        <w:t xml:space="preserve">. Also, greater tensions are associated with uncertainty about future oil prices. For that reason, it is expected that </w:t>
      </w:r>
      <m:oMath>
        <m:r>
          <w:rPr>
            <w:rFonts w:ascii="Cambria Math" w:hAnsi="Cambria Math" w:cs="Times New Roman"/>
            <w:sz w:val="24"/>
            <w:szCs w:val="24"/>
            <w:lang w:val="en-GB"/>
          </w:rPr>
          <m:t>GT&amp;N→</m:t>
        </m:r>
        <m:r>
          <m:rPr>
            <m:scr m:val="double-struck"/>
          </m:rPr>
          <w:rPr>
            <w:rFonts w:ascii="Cambria Math" w:hAnsi="Cambria Math" w:cs="Times New Roman"/>
            <w:sz w:val="24"/>
            <w:szCs w:val="24"/>
            <w:lang w:val="en-GB"/>
          </w:rPr>
          <m:t>D</m:t>
        </m:r>
        <m:d>
          <m:dPr>
            <m:begChr m:val="["/>
            <m:endChr m:val="]"/>
            <m:ctrlPr>
              <w:rPr>
                <w:rFonts w:ascii="Cambria Math" w:hAnsi="Cambria Math" w:cs="Times New Roman"/>
                <w:i/>
                <w:iCs/>
                <w:sz w:val="24"/>
                <w:szCs w:val="24"/>
                <w:lang w:val="en-GB"/>
              </w:rPr>
            </m:ctrlPr>
          </m:dPr>
          <m:e>
            <m:sSup>
              <m:sSupPr>
                <m:ctrlPr>
                  <w:rPr>
                    <w:rFonts w:ascii="Cambria Math" w:hAnsi="Cambria Math" w:cs="Times New Roman"/>
                    <w:i/>
                    <w:iCs/>
                    <w:sz w:val="24"/>
                    <w:szCs w:val="24"/>
                    <w:lang w:val="en-GB"/>
                  </w:rPr>
                </m:ctrlPr>
              </m:sSupPr>
              <m:e>
                <m:r>
                  <w:rPr>
                    <w:rFonts w:ascii="Cambria Math" w:hAnsi="Cambria Math" w:cs="Times New Roman"/>
                    <w:sz w:val="24"/>
                    <w:szCs w:val="24"/>
                    <w:lang w:val="en-GB"/>
                  </w:rPr>
                  <m:t>P</m:t>
                </m:r>
              </m:e>
              <m:sup>
                <m:r>
                  <w:rPr>
                    <w:rFonts w:ascii="Cambria Math" w:hAnsi="Cambria Math" w:cs="Times New Roman"/>
                    <w:sz w:val="24"/>
                    <w:szCs w:val="24"/>
                    <w:lang w:val="en-GB"/>
                  </w:rPr>
                  <m:t>Oil</m:t>
                </m:r>
              </m:sup>
            </m:sSup>
          </m:e>
        </m:d>
      </m:oMath>
      <w:r w:rsidRPr="007D2E18">
        <w:rPr>
          <w:rFonts w:ascii="Times New Roman" w:hAnsi="Times New Roman" w:cs="Times New Roman"/>
          <w:sz w:val="24"/>
          <w:szCs w:val="24"/>
          <w:lang w:val="en-GB"/>
        </w:rPr>
        <w:t xml:space="preserve">, and the inverse should not hold; again, if the </w:t>
      </w:r>
      <w:r w:rsidRPr="007D2E18">
        <w:rPr>
          <w:rFonts w:ascii="Times New Roman" w:hAnsi="Times New Roman" w:cs="Times New Roman"/>
          <w:i/>
          <w:iCs/>
          <w:sz w:val="24"/>
          <w:szCs w:val="24"/>
          <w:lang w:val="en-GB"/>
        </w:rPr>
        <w:t>GT&amp;N</w:t>
      </w:r>
      <w:r w:rsidRPr="007D2E18">
        <w:rPr>
          <w:rFonts w:ascii="Times New Roman" w:hAnsi="Times New Roman" w:cs="Times New Roman"/>
          <w:sz w:val="24"/>
          <w:szCs w:val="24"/>
          <w:lang w:val="en-GB"/>
        </w:rPr>
        <w:t xml:space="preserve"> is exogenous and measuring unexpected news.</w:t>
      </w:r>
      <w:r w:rsidR="00643DB5" w:rsidRPr="007D2E18">
        <w:rPr>
          <w:rStyle w:val="Refdenotaalpie"/>
          <w:rFonts w:ascii="Times New Roman" w:hAnsi="Times New Roman" w:cs="Times New Roman"/>
          <w:sz w:val="24"/>
          <w:szCs w:val="24"/>
          <w:lang w:val="en-GB"/>
        </w:rPr>
        <w:footnoteReference w:id="9"/>
      </w:r>
    </w:p>
    <w:p w14:paraId="2AE7067A" w14:textId="77777777" w:rsidR="00643DB5" w:rsidRPr="007D2E18" w:rsidRDefault="00643DB5" w:rsidP="00A456AE">
      <w:pPr>
        <w:spacing w:after="0" w:line="240" w:lineRule="auto"/>
        <w:jc w:val="both"/>
        <w:rPr>
          <w:rFonts w:ascii="Times New Roman" w:hAnsi="Times New Roman" w:cs="Times New Roman"/>
          <w:sz w:val="24"/>
          <w:szCs w:val="24"/>
          <w:lang w:val="en-GB"/>
        </w:rPr>
      </w:pPr>
    </w:p>
    <w:p w14:paraId="2113629F" w14:textId="77777777" w:rsidR="00285464"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Our analysis involves oil price forecasts for two reasons. The first one is the true interest in investigating to which extent both forecast level and dispersion are affected by the </w:t>
      </w:r>
      <w:r w:rsidRPr="007D2E18">
        <w:rPr>
          <w:rFonts w:ascii="Times New Roman" w:hAnsi="Times New Roman" w:cs="Times New Roman"/>
          <w:i/>
          <w:iCs/>
          <w:sz w:val="24"/>
          <w:szCs w:val="24"/>
          <w:lang w:val="en-GB"/>
        </w:rPr>
        <w:t>GT&amp;N</w:t>
      </w:r>
      <w:r w:rsidRPr="007D2E18">
        <w:rPr>
          <w:rFonts w:ascii="Times New Roman" w:hAnsi="Times New Roman" w:cs="Times New Roman"/>
          <w:sz w:val="24"/>
          <w:szCs w:val="24"/>
          <w:lang w:val="en-GB"/>
        </w:rPr>
        <w:t xml:space="preserve"> variable. The second reason is to stress out the reliability of the newly proposed </w:t>
      </w:r>
      <w:r w:rsidRPr="007D2E18">
        <w:rPr>
          <w:rFonts w:ascii="Times New Roman" w:hAnsi="Times New Roman" w:cs="Times New Roman"/>
          <w:i/>
          <w:iCs/>
          <w:sz w:val="24"/>
          <w:szCs w:val="24"/>
          <w:lang w:val="en-GB"/>
        </w:rPr>
        <w:t>GT&amp;N</w:t>
      </w:r>
      <w:r w:rsidRPr="007D2E18">
        <w:rPr>
          <w:rFonts w:ascii="Times New Roman" w:hAnsi="Times New Roman" w:cs="Times New Roman"/>
          <w:sz w:val="24"/>
          <w:szCs w:val="24"/>
          <w:lang w:val="en-GB"/>
        </w:rPr>
        <w:t xml:space="preserve"> measure and its components.</w:t>
      </w:r>
    </w:p>
    <w:p w14:paraId="48CEB4A4" w14:textId="77777777" w:rsidR="00285464" w:rsidRPr="007D2E18" w:rsidRDefault="00285464" w:rsidP="00A456AE">
      <w:pPr>
        <w:spacing w:after="0" w:line="240" w:lineRule="auto"/>
        <w:jc w:val="both"/>
        <w:rPr>
          <w:rFonts w:ascii="Times New Roman" w:hAnsi="Times New Roman" w:cs="Times New Roman"/>
          <w:sz w:val="24"/>
          <w:szCs w:val="24"/>
          <w:lang w:val="en-GB"/>
        </w:rPr>
      </w:pPr>
    </w:p>
    <w:p w14:paraId="3502748C" w14:textId="7FBB202F" w:rsidR="0085000C"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The analysis continues by testing the same set of three hypotheses making use of the </w:t>
      </w:r>
      <w:r w:rsidRPr="007D2E18">
        <w:rPr>
          <w:rFonts w:ascii="Times New Roman" w:hAnsi="Times New Roman" w:cs="Times New Roman"/>
          <w:i/>
          <w:iCs/>
          <w:sz w:val="24"/>
          <w:szCs w:val="24"/>
          <w:lang w:val="en-GB"/>
        </w:rPr>
        <w:t>GT&amp;N-O</w:t>
      </w:r>
      <w:r w:rsidRPr="007D2E18">
        <w:rPr>
          <w:rFonts w:ascii="Times New Roman" w:hAnsi="Times New Roman" w:cs="Times New Roman"/>
          <w:sz w:val="24"/>
          <w:szCs w:val="24"/>
          <w:lang w:val="en-GB"/>
        </w:rPr>
        <w:t xml:space="preserve"> and </w:t>
      </w:r>
      <w:r w:rsidRPr="007D2E18">
        <w:rPr>
          <w:rFonts w:ascii="Times New Roman" w:hAnsi="Times New Roman" w:cs="Times New Roman"/>
          <w:i/>
          <w:iCs/>
          <w:sz w:val="24"/>
          <w:szCs w:val="24"/>
          <w:lang w:val="en-GB"/>
        </w:rPr>
        <w:t>GT&amp;N-NO</w:t>
      </w:r>
      <w:r w:rsidRPr="007D2E18">
        <w:rPr>
          <w:rFonts w:ascii="Times New Roman" w:hAnsi="Times New Roman" w:cs="Times New Roman"/>
          <w:sz w:val="24"/>
          <w:szCs w:val="24"/>
          <w:lang w:val="en-GB"/>
        </w:rPr>
        <w:t xml:space="preserve"> variables. Notice that given the geographical proximity of the majority of considered oil-producer countries, it is difficult to fully isolate both measures and some intertemporal interaction may exist in specific events. However, we do not impose an orthogonality condition between them, opting for preserving the benefit of simplicity and easy-to-read results.</w:t>
      </w:r>
    </w:p>
    <w:p w14:paraId="3A3DEEA9" w14:textId="77777777" w:rsidR="0085000C" w:rsidRPr="007D2E18" w:rsidRDefault="0085000C" w:rsidP="00A456AE">
      <w:pPr>
        <w:spacing w:after="0" w:line="240" w:lineRule="auto"/>
        <w:jc w:val="both"/>
        <w:rPr>
          <w:rFonts w:ascii="Times New Roman" w:hAnsi="Times New Roman" w:cs="Times New Roman"/>
          <w:sz w:val="24"/>
          <w:szCs w:val="24"/>
          <w:lang w:val="en-GB"/>
        </w:rPr>
      </w:pPr>
    </w:p>
    <w:p w14:paraId="55D264D7" w14:textId="77777777" w:rsidR="00285464" w:rsidRPr="007D2E18" w:rsidRDefault="00285464" w:rsidP="00A456AE">
      <w:pPr>
        <w:spacing w:after="0" w:line="240" w:lineRule="auto"/>
        <w:jc w:val="both"/>
        <w:rPr>
          <w:rFonts w:ascii="Times New Roman" w:hAnsi="Times New Roman" w:cs="Times New Roman"/>
          <w:b/>
          <w:bCs/>
          <w:sz w:val="24"/>
          <w:szCs w:val="24"/>
          <w:lang w:val="en-GB"/>
        </w:rPr>
      </w:pPr>
      <w:r w:rsidRPr="007D2E18">
        <w:rPr>
          <w:rFonts w:ascii="Times New Roman" w:hAnsi="Times New Roman" w:cs="Times New Roman"/>
          <w:b/>
          <w:bCs/>
          <w:sz w:val="24"/>
          <w:szCs w:val="24"/>
          <w:lang w:val="en-GB"/>
        </w:rPr>
        <w:t xml:space="preserve">3.4. </w:t>
      </w:r>
      <w:r w:rsidR="0085000C" w:rsidRPr="007D2E18">
        <w:rPr>
          <w:rFonts w:ascii="Times New Roman" w:hAnsi="Times New Roman" w:cs="Times New Roman"/>
          <w:b/>
          <w:bCs/>
          <w:sz w:val="24"/>
          <w:szCs w:val="24"/>
          <w:lang w:val="en-GB"/>
        </w:rPr>
        <w:t>Dataset</w:t>
      </w:r>
    </w:p>
    <w:p w14:paraId="006500B3" w14:textId="77777777" w:rsidR="00285464" w:rsidRPr="007D2E18" w:rsidRDefault="00285464" w:rsidP="00A456AE">
      <w:pPr>
        <w:spacing w:after="0" w:line="240" w:lineRule="auto"/>
        <w:jc w:val="both"/>
        <w:rPr>
          <w:rFonts w:ascii="Times New Roman" w:hAnsi="Times New Roman" w:cs="Times New Roman"/>
          <w:b/>
          <w:bCs/>
          <w:sz w:val="24"/>
          <w:szCs w:val="24"/>
          <w:lang w:val="en-GB"/>
        </w:rPr>
      </w:pPr>
    </w:p>
    <w:p w14:paraId="03C1CD8E" w14:textId="77777777" w:rsidR="00285464" w:rsidRPr="007D2E18" w:rsidRDefault="0085000C" w:rsidP="00A456AE">
      <w:pPr>
        <w:spacing w:after="0" w:line="240" w:lineRule="auto"/>
        <w:jc w:val="both"/>
        <w:rPr>
          <w:rFonts w:ascii="Times New Roman" w:hAnsi="Times New Roman" w:cs="Times New Roman"/>
          <w:b/>
          <w:bCs/>
          <w:sz w:val="24"/>
          <w:szCs w:val="24"/>
          <w:lang w:val="en-GB"/>
        </w:rPr>
      </w:pPr>
      <w:r w:rsidRPr="007D2E18">
        <w:rPr>
          <w:rFonts w:ascii="Times New Roman" w:hAnsi="Times New Roman" w:cs="Times New Roman"/>
          <w:sz w:val="24"/>
          <w:szCs w:val="24"/>
          <w:lang w:val="en-GB"/>
        </w:rPr>
        <w:t xml:space="preserve">The analysis is made considering a time window spanning from 2001.1 until 2012.3 in monthly frequency, comprising 135 observations. Notice that the </w:t>
      </w:r>
      <w:r w:rsidRPr="007D2E18">
        <w:rPr>
          <w:rFonts w:ascii="Times New Roman" w:hAnsi="Times New Roman" w:cs="Times New Roman"/>
          <w:i/>
          <w:iCs/>
          <w:sz w:val="24"/>
          <w:szCs w:val="24"/>
          <w:lang w:val="en-GB"/>
        </w:rPr>
        <w:t>GT&amp;N</w:t>
      </w:r>
      <w:r w:rsidRPr="007D2E18">
        <w:rPr>
          <w:rFonts w:ascii="Times New Roman" w:hAnsi="Times New Roman" w:cs="Times New Roman"/>
          <w:sz w:val="24"/>
          <w:szCs w:val="24"/>
          <w:lang w:val="en-GB"/>
        </w:rPr>
        <w:t xml:space="preserve"> variable is available as from 1999. So, the limiting part of the analysis are the oil price forecasts, starting in 2001. The </w:t>
      </w:r>
      <w:r w:rsidRPr="007D2E18">
        <w:rPr>
          <w:rFonts w:ascii="Times New Roman" w:hAnsi="Times New Roman" w:cs="Times New Roman"/>
          <w:i/>
          <w:iCs/>
          <w:sz w:val="24"/>
          <w:szCs w:val="24"/>
          <w:lang w:val="en-GB"/>
        </w:rPr>
        <w:t>GT&amp;N</w:t>
      </w:r>
      <w:r w:rsidRPr="007D2E18">
        <w:rPr>
          <w:rFonts w:ascii="Times New Roman" w:hAnsi="Times New Roman" w:cs="Times New Roman"/>
          <w:sz w:val="24"/>
          <w:szCs w:val="24"/>
          <w:lang w:val="en-GB"/>
        </w:rPr>
        <w:t xml:space="preserve"> variable is constructed by adding 10 categorical dummy variables, in which the value of one is assigned to an unexpected event (geopolitical tension or news) associated to an oil supply expansion, minus one to an oil supply contraction, and zero otherwise. There is one category fully deserved for OPEC events while the remaining belong to non-OPEC countries.</w:t>
      </w:r>
    </w:p>
    <w:p w14:paraId="7A776F23" w14:textId="77777777" w:rsidR="00285464" w:rsidRPr="007D2E18" w:rsidRDefault="00285464" w:rsidP="00A456AE">
      <w:pPr>
        <w:spacing w:after="0" w:line="240" w:lineRule="auto"/>
        <w:jc w:val="both"/>
        <w:rPr>
          <w:rFonts w:ascii="Times New Roman" w:hAnsi="Times New Roman" w:cs="Times New Roman"/>
          <w:b/>
          <w:bCs/>
          <w:sz w:val="24"/>
          <w:szCs w:val="24"/>
          <w:lang w:val="en-GB"/>
        </w:rPr>
      </w:pPr>
    </w:p>
    <w:p w14:paraId="50C80B25" w14:textId="3CF768AC" w:rsidR="0085000C" w:rsidRPr="007D2E18" w:rsidRDefault="0085000C" w:rsidP="00A456AE">
      <w:pPr>
        <w:spacing w:after="0" w:line="240" w:lineRule="auto"/>
        <w:jc w:val="both"/>
        <w:rPr>
          <w:rFonts w:ascii="Times New Roman" w:hAnsi="Times New Roman" w:cs="Times New Roman"/>
          <w:b/>
          <w:bCs/>
          <w:sz w:val="24"/>
          <w:szCs w:val="24"/>
          <w:lang w:val="en-GB"/>
        </w:rPr>
      </w:pPr>
      <w:r w:rsidRPr="007D2E18">
        <w:rPr>
          <w:rFonts w:ascii="Times New Roman" w:hAnsi="Times New Roman" w:cs="Times New Roman"/>
          <w:sz w:val="24"/>
          <w:szCs w:val="24"/>
          <w:lang w:val="en-GB"/>
        </w:rPr>
        <w:t>A total of 204 events are identified across the 10 categories listed in Table 1. More detailed descriptions on the type of events are included in each category that can be found in Appendix A as well as the time-</w:t>
      </w:r>
      <w:r w:rsidRPr="007D2E18">
        <w:rPr>
          <w:rFonts w:ascii="Times New Roman" w:hAnsi="Times New Roman" w:cs="Times New Roman"/>
          <w:sz w:val="24"/>
          <w:szCs w:val="24"/>
          <w:lang w:val="en-GB"/>
        </w:rPr>
        <w:lastRenderedPageBreak/>
        <w:t xml:space="preserve">series graph of the </w:t>
      </w:r>
      <w:r w:rsidRPr="007D2E18">
        <w:rPr>
          <w:rFonts w:ascii="Times New Roman" w:hAnsi="Times New Roman" w:cs="Times New Roman"/>
          <w:i/>
          <w:iCs/>
          <w:sz w:val="24"/>
          <w:szCs w:val="24"/>
          <w:lang w:val="en-GB"/>
        </w:rPr>
        <w:t>GT&amp;N</w:t>
      </w:r>
      <w:r w:rsidRPr="007D2E18">
        <w:rPr>
          <w:rFonts w:ascii="Times New Roman" w:hAnsi="Times New Roman" w:cs="Times New Roman"/>
          <w:sz w:val="24"/>
          <w:szCs w:val="24"/>
          <w:lang w:val="en-GB"/>
        </w:rPr>
        <w:t xml:space="preserve"> variable in Figure A1. For a daily individual-level identification, see Appendix A of López and Muñoz (2012). The sources of geopolitical tensions and news are Bloomberg, </w:t>
      </w:r>
      <w:r w:rsidRPr="007D2E18">
        <w:rPr>
          <w:rFonts w:ascii="Times New Roman" w:hAnsi="Times New Roman" w:cs="Times New Roman"/>
          <w:i/>
          <w:iCs/>
          <w:sz w:val="24"/>
          <w:szCs w:val="24"/>
          <w:lang w:val="en-GB"/>
        </w:rPr>
        <w:t>The Wall Street Journal</w:t>
      </w:r>
      <w:r w:rsidRPr="007D2E18">
        <w:rPr>
          <w:rFonts w:ascii="Times New Roman" w:hAnsi="Times New Roman" w:cs="Times New Roman"/>
          <w:sz w:val="24"/>
          <w:szCs w:val="24"/>
          <w:lang w:val="en-GB"/>
        </w:rPr>
        <w:t xml:space="preserve">, </w:t>
      </w:r>
      <w:r w:rsidRPr="007D2E18">
        <w:rPr>
          <w:rFonts w:ascii="Times New Roman" w:hAnsi="Times New Roman" w:cs="Times New Roman"/>
          <w:i/>
          <w:iCs/>
          <w:sz w:val="24"/>
          <w:szCs w:val="24"/>
          <w:lang w:val="en-GB"/>
        </w:rPr>
        <w:t>Financial Times</w:t>
      </w:r>
      <w:r w:rsidRPr="007D2E18">
        <w:rPr>
          <w:rFonts w:ascii="Times New Roman" w:hAnsi="Times New Roman" w:cs="Times New Roman"/>
          <w:sz w:val="24"/>
          <w:szCs w:val="24"/>
          <w:lang w:val="en-GB"/>
        </w:rPr>
        <w:t xml:space="preserve">, and the </w:t>
      </w:r>
      <w:r w:rsidRPr="007D2E18">
        <w:rPr>
          <w:rFonts w:ascii="Times New Roman" w:hAnsi="Times New Roman" w:cs="Times New Roman"/>
          <w:i/>
          <w:iCs/>
          <w:sz w:val="24"/>
          <w:szCs w:val="24"/>
          <w:lang w:val="en-GB"/>
        </w:rPr>
        <w:t>United States Energy Information Administration</w:t>
      </w:r>
      <w:r w:rsidRPr="007D2E18">
        <w:rPr>
          <w:rFonts w:ascii="Times New Roman" w:hAnsi="Times New Roman" w:cs="Times New Roman"/>
          <w:sz w:val="24"/>
          <w:szCs w:val="24"/>
          <w:lang w:val="en-GB"/>
        </w:rPr>
        <w:t xml:space="preserve"> and are manually coded comprehensively according to informational content. The </w:t>
      </w:r>
      <w:r w:rsidRPr="007D2E18">
        <w:rPr>
          <w:rFonts w:ascii="Times New Roman" w:hAnsi="Times New Roman" w:cs="Times New Roman"/>
          <w:i/>
          <w:iCs/>
          <w:sz w:val="24"/>
          <w:szCs w:val="24"/>
          <w:lang w:val="en-GB"/>
        </w:rPr>
        <w:t>GT&amp;N</w:t>
      </w:r>
      <w:r w:rsidRPr="007D2E18">
        <w:rPr>
          <w:rFonts w:ascii="Times New Roman" w:hAnsi="Times New Roman" w:cs="Times New Roman"/>
          <w:sz w:val="24"/>
          <w:szCs w:val="24"/>
          <w:lang w:val="en-GB"/>
        </w:rPr>
        <w:t xml:space="preserve"> variable is not recoded to, for instance (-1,0,1) after adding its components, to preserve its intensity.</w:t>
      </w:r>
    </w:p>
    <w:p w14:paraId="25607D3C" w14:textId="77777777" w:rsidR="0085000C" w:rsidRPr="007D2E18" w:rsidRDefault="0085000C" w:rsidP="00A456AE">
      <w:pPr>
        <w:spacing w:after="0" w:line="240" w:lineRule="auto"/>
        <w:jc w:val="both"/>
        <w:rPr>
          <w:rFonts w:ascii="Times New Roman" w:hAnsi="Times New Roman" w:cs="Times New Roman"/>
          <w:sz w:val="24"/>
          <w:szCs w:val="24"/>
          <w:lang w:val="en-GB"/>
        </w:rPr>
      </w:pPr>
    </w:p>
    <w:p w14:paraId="3103C488" w14:textId="4D8F612B" w:rsidR="0085000C" w:rsidRPr="007D2E18" w:rsidRDefault="0085000C" w:rsidP="00285464">
      <w:pPr>
        <w:spacing w:after="0" w:line="240" w:lineRule="auto"/>
        <w:jc w:val="center"/>
        <w:rPr>
          <w:rFonts w:ascii="Times New Roman" w:hAnsi="Times New Roman" w:cs="Times New Roman"/>
          <w:lang w:val="en-GB"/>
        </w:rPr>
      </w:pPr>
      <w:r w:rsidRPr="007D2E18">
        <w:rPr>
          <w:rFonts w:ascii="Times New Roman" w:hAnsi="Times New Roman" w:cs="Times New Roman"/>
          <w:lang w:val="en-GB"/>
        </w:rPr>
        <w:t>Table 1. Geopolitical tensions and news: components and description (*)</w:t>
      </w:r>
    </w:p>
    <w:p w14:paraId="41B06DA3" w14:textId="05ABAC2A" w:rsidR="0085000C" w:rsidRPr="007D2E18" w:rsidRDefault="0085000C" w:rsidP="00285464">
      <w:pPr>
        <w:spacing w:after="0" w:line="240" w:lineRule="auto"/>
        <w:jc w:val="center"/>
        <w:rPr>
          <w:rFonts w:ascii="Times New Roman" w:hAnsi="Times New Roman" w:cs="Times New Roman"/>
          <w:lang w:val="en-GB"/>
        </w:rPr>
      </w:pPr>
      <w:r w:rsidRPr="007D2E18">
        <w:rPr>
          <w:rFonts w:ascii="Times New Roman" w:hAnsi="Times New Roman" w:cs="Times New Roman"/>
          <w:lang w:val="en-GB"/>
        </w:rPr>
        <w:t>(*) Total events: 204 (sample: 2001.1-2012.3). Source: Authors</w:t>
      </w:r>
      <w:r w:rsidR="00285464" w:rsidRPr="007D2E18">
        <w:rPr>
          <w:rFonts w:ascii="Times New Roman" w:hAnsi="Times New Roman" w:cs="Times New Roman"/>
          <w:lang w:val="en-GB"/>
        </w:rPr>
        <w:t>’</w:t>
      </w:r>
      <w:r w:rsidRPr="007D2E18">
        <w:rPr>
          <w:rFonts w:ascii="Times New Roman" w:hAnsi="Times New Roman" w:cs="Times New Roman"/>
          <w:lang w:val="en-GB"/>
        </w:rPr>
        <w:t xml:space="preserve"> calculations.</w:t>
      </w:r>
    </w:p>
    <w:p w14:paraId="6C16DA81" w14:textId="77777777" w:rsidR="00285464" w:rsidRPr="007D2E18" w:rsidRDefault="00285464" w:rsidP="00A456AE">
      <w:pPr>
        <w:spacing w:after="0" w:line="240" w:lineRule="auto"/>
        <w:jc w:val="both"/>
        <w:rPr>
          <w:rFonts w:ascii="Times New Roman" w:hAnsi="Times New Roman" w:cs="Times New Roman"/>
          <w:sz w:val="24"/>
          <w:szCs w:val="24"/>
          <w:lang w:val="en-GB"/>
        </w:rPr>
      </w:pPr>
    </w:p>
    <w:p w14:paraId="44CDD27B" w14:textId="77777777" w:rsidR="00394FA1"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Actual oil price means to the annual percentage change of the Brent oil price measured in USD per barrel (source: Bloomberg; </w:t>
      </w:r>
      <m:oMath>
        <m:sSup>
          <m:sSupPr>
            <m:ctrlPr>
              <w:rPr>
                <w:rFonts w:ascii="Cambria Math" w:hAnsi="Cambria Math" w:cs="Times New Roman"/>
                <w:i/>
                <w:iCs/>
                <w:sz w:val="24"/>
                <w:szCs w:val="24"/>
                <w:lang w:val="en-GB"/>
              </w:rPr>
            </m:ctrlPr>
          </m:sSupPr>
          <m:e>
            <m:r>
              <w:rPr>
                <w:rFonts w:ascii="Cambria Math" w:hAnsi="Cambria Math" w:cs="Times New Roman"/>
                <w:sz w:val="24"/>
                <w:szCs w:val="24"/>
                <w:lang w:val="en-GB"/>
              </w:rPr>
              <m:t>P</m:t>
            </m:r>
          </m:e>
          <m:sup>
            <m:r>
              <w:rPr>
                <w:rFonts w:ascii="Cambria Math" w:hAnsi="Cambria Math" w:cs="Times New Roman"/>
                <w:sz w:val="24"/>
                <w:szCs w:val="24"/>
                <w:lang w:val="en-GB"/>
              </w:rPr>
              <m:t>Oil</m:t>
            </m:r>
          </m:sup>
        </m:sSup>
        <m:r>
          <w:rPr>
            <w:rFonts w:ascii="Cambria Math" w:hAnsi="Cambria Math" w:cs="Times New Roman"/>
            <w:sz w:val="24"/>
            <w:szCs w:val="24"/>
            <w:lang w:val="en-GB"/>
          </w:rPr>
          <m:t>=100×</m:t>
        </m:r>
        <m:d>
          <m:dPr>
            <m:ctrlPr>
              <w:rPr>
                <w:rFonts w:ascii="Cambria Math" w:hAnsi="Cambria Math" w:cs="Times New Roman"/>
                <w:i/>
                <w:iCs/>
                <w:sz w:val="24"/>
                <w:szCs w:val="24"/>
                <w:lang w:val="en-GB"/>
              </w:rPr>
            </m:ctrlPr>
          </m:dPr>
          <m:e>
            <m:d>
              <m:dPr>
                <m:ctrlPr>
                  <w:rPr>
                    <w:rFonts w:ascii="Cambria Math" w:hAnsi="Cambria Math" w:cs="Times New Roman"/>
                    <w:i/>
                    <w:iCs/>
                    <w:sz w:val="24"/>
                    <w:szCs w:val="24"/>
                    <w:lang w:val="en-GB"/>
                  </w:rPr>
                </m:ctrlPr>
              </m:dPr>
              <m:e>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oil price</m:t>
                    </m:r>
                  </m:e>
                  <m:sub>
                    <m:r>
                      <w:rPr>
                        <w:rFonts w:ascii="Cambria Math" w:hAnsi="Cambria Math" w:cs="Times New Roman"/>
                        <w:sz w:val="24"/>
                        <w:szCs w:val="24"/>
                        <w:lang w:val="en-GB"/>
                      </w:rPr>
                      <m:t>t</m:t>
                    </m:r>
                  </m:sub>
                </m:sSub>
                <m:r>
                  <w:rPr>
                    <w:rFonts w:ascii="Cambria Math" w:hAnsi="Cambria Math" w:cs="Times New Roman"/>
                    <w:sz w:val="24"/>
                    <w:szCs w:val="24"/>
                    <w:lang w:val="en-GB"/>
                  </w:rPr>
                  <m:t>/</m:t>
                </m:r>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oil price</m:t>
                    </m:r>
                  </m:e>
                  <m:sub>
                    <m:r>
                      <w:rPr>
                        <w:rFonts w:ascii="Cambria Math" w:hAnsi="Cambria Math" w:cs="Times New Roman"/>
                        <w:sz w:val="24"/>
                        <w:szCs w:val="24"/>
                        <w:lang w:val="en-GB"/>
                      </w:rPr>
                      <m:t>t-12</m:t>
                    </m:r>
                  </m:sub>
                </m:sSub>
              </m:e>
            </m:d>
            <m:r>
              <w:rPr>
                <w:rFonts w:ascii="Cambria Math" w:hAnsi="Cambria Math" w:cs="Times New Roman"/>
                <w:sz w:val="24"/>
                <w:szCs w:val="24"/>
                <w:lang w:val="en-GB"/>
              </w:rPr>
              <m:t>-1</m:t>
            </m:r>
          </m:e>
        </m:d>
      </m:oMath>
      <w:r w:rsidRPr="007D2E18">
        <w:rPr>
          <w:rFonts w:ascii="Times New Roman" w:hAnsi="Times New Roman" w:cs="Times New Roman"/>
          <w:sz w:val="24"/>
          <w:szCs w:val="24"/>
          <w:lang w:val="en-GB"/>
        </w:rPr>
        <w:t xml:space="preserve">. Oil price forecasts corresponds to the annual percentage change of the 12 months ahead forecast contained in the monthly </w:t>
      </w:r>
      <w:r w:rsidRPr="007D2E18">
        <w:rPr>
          <w:rFonts w:ascii="Times New Roman" w:hAnsi="Times New Roman" w:cs="Times New Roman"/>
          <w:i/>
          <w:iCs/>
          <w:sz w:val="24"/>
          <w:szCs w:val="24"/>
          <w:lang w:val="en-GB"/>
        </w:rPr>
        <w:t>Consensus Forecast</w:t>
      </w:r>
      <w:r w:rsidRPr="007D2E18">
        <w:rPr>
          <w:rFonts w:ascii="Times New Roman" w:hAnsi="Times New Roman" w:cs="Times New Roman"/>
          <w:sz w:val="24"/>
          <w:szCs w:val="24"/>
          <w:lang w:val="en-GB"/>
        </w:rPr>
        <w:t xml:space="preserve"> (CF) report, but using the actual value as denominator (</w:t>
      </w:r>
      <m:oMath>
        <m:r>
          <m:rPr>
            <m:scr m:val="double-struck"/>
          </m:rPr>
          <w:rPr>
            <w:rFonts w:ascii="Cambria Math" w:hAnsi="Cambria Math" w:cs="Times New Roman"/>
            <w:sz w:val="24"/>
            <w:szCs w:val="24"/>
            <w:lang w:val="en-GB"/>
          </w:rPr>
          <m:t>E</m:t>
        </m:r>
        <m:d>
          <m:dPr>
            <m:begChr m:val="["/>
            <m:endChr m:val="]"/>
            <m:ctrlPr>
              <w:rPr>
                <w:rFonts w:ascii="Cambria Math" w:hAnsi="Cambria Math" w:cs="Times New Roman"/>
                <w:i/>
                <w:iCs/>
                <w:sz w:val="24"/>
                <w:szCs w:val="24"/>
                <w:lang w:val="en-GB"/>
              </w:rPr>
            </m:ctrlPr>
          </m:dPr>
          <m:e>
            <m:sSup>
              <m:sSupPr>
                <m:ctrlPr>
                  <w:rPr>
                    <w:rFonts w:ascii="Cambria Math" w:hAnsi="Cambria Math" w:cs="Times New Roman"/>
                    <w:i/>
                    <w:iCs/>
                    <w:sz w:val="24"/>
                    <w:szCs w:val="24"/>
                    <w:lang w:val="en-GB"/>
                  </w:rPr>
                </m:ctrlPr>
              </m:sSupPr>
              <m:e>
                <m:r>
                  <w:rPr>
                    <w:rFonts w:ascii="Cambria Math" w:hAnsi="Cambria Math" w:cs="Times New Roman"/>
                    <w:sz w:val="24"/>
                    <w:szCs w:val="24"/>
                    <w:lang w:val="en-GB"/>
                  </w:rPr>
                  <m:t>P</m:t>
                </m:r>
              </m:e>
              <m:sup>
                <m:r>
                  <w:rPr>
                    <w:rFonts w:ascii="Cambria Math" w:hAnsi="Cambria Math" w:cs="Times New Roman"/>
                    <w:sz w:val="24"/>
                    <w:szCs w:val="24"/>
                    <w:lang w:val="en-GB"/>
                  </w:rPr>
                  <m:t>Oil</m:t>
                </m:r>
              </m:sup>
            </m:sSup>
          </m:e>
        </m:d>
        <m:r>
          <w:rPr>
            <w:rFonts w:ascii="Cambria Math" w:hAnsi="Cambria Math" w:cs="Times New Roman"/>
            <w:sz w:val="24"/>
            <w:szCs w:val="24"/>
            <w:lang w:val="en-GB"/>
          </w:rPr>
          <m:t>=100×</m:t>
        </m:r>
        <m:d>
          <m:dPr>
            <m:ctrlPr>
              <w:rPr>
                <w:rFonts w:ascii="Cambria Math" w:hAnsi="Cambria Math" w:cs="Times New Roman"/>
                <w:i/>
                <w:iCs/>
                <w:sz w:val="24"/>
                <w:szCs w:val="24"/>
                <w:lang w:val="en-GB"/>
              </w:rPr>
            </m:ctrlPr>
          </m:dPr>
          <m:e>
            <m:d>
              <m:dPr>
                <m:ctrlPr>
                  <w:rPr>
                    <w:rFonts w:ascii="Cambria Math" w:hAnsi="Cambria Math" w:cs="Times New Roman"/>
                    <w:i/>
                    <w:iCs/>
                    <w:sz w:val="24"/>
                    <w:szCs w:val="24"/>
                    <w:lang w:val="en-GB"/>
                  </w:rPr>
                </m:ctrlPr>
              </m:dPr>
              <m:e>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oil price forecast</m:t>
                    </m:r>
                  </m:e>
                  <m:sub>
                    <m:r>
                      <w:rPr>
                        <w:rFonts w:ascii="Cambria Math" w:hAnsi="Cambria Math" w:cs="Times New Roman"/>
                        <w:sz w:val="24"/>
                        <w:szCs w:val="24"/>
                        <w:lang w:val="en-GB"/>
                      </w:rPr>
                      <m:t>t</m:t>
                    </m:r>
                  </m:sub>
                </m:sSub>
                <m:r>
                  <w:rPr>
                    <w:rFonts w:ascii="Cambria Math" w:hAnsi="Cambria Math" w:cs="Times New Roman"/>
                    <w:sz w:val="24"/>
                    <w:szCs w:val="24"/>
                    <w:lang w:val="en-GB"/>
                  </w:rPr>
                  <m:t>/</m:t>
                </m:r>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oil price</m:t>
                    </m:r>
                  </m:e>
                  <m:sub>
                    <m:r>
                      <w:rPr>
                        <w:rFonts w:ascii="Cambria Math" w:hAnsi="Cambria Math" w:cs="Times New Roman"/>
                        <w:sz w:val="24"/>
                        <w:szCs w:val="24"/>
                        <w:lang w:val="en-GB"/>
                      </w:rPr>
                      <m:t>t-12</m:t>
                    </m:r>
                  </m:sub>
                </m:sSub>
              </m:e>
            </m:d>
            <m:r>
              <w:rPr>
                <w:rFonts w:ascii="Cambria Math" w:hAnsi="Cambria Math" w:cs="Times New Roman"/>
                <w:sz w:val="24"/>
                <w:szCs w:val="24"/>
                <w:lang w:val="en-GB"/>
              </w:rPr>
              <m:t>-1</m:t>
            </m:r>
          </m:e>
        </m:d>
      </m:oMath>
      <w:r w:rsidRPr="007D2E18">
        <w:rPr>
          <w:rFonts w:ascii="Times New Roman" w:hAnsi="Times New Roman" w:cs="Times New Roman"/>
          <w:sz w:val="24"/>
          <w:szCs w:val="24"/>
          <w:lang w:val="en-GB"/>
        </w:rPr>
        <w:t xml:space="preserve">). The point estimator displayed in CF report corresponds to the mean of the answers at the same horizon, ranging 65-70 respondents. Each report also shows the maximum and the minimum point value answered by respondents; </w:t>
      </w:r>
      <m:oMath>
        <m:sSub>
          <m:sSubPr>
            <m:ctrlPr>
              <w:rPr>
                <w:rFonts w:ascii="Cambria Math" w:hAnsi="Cambria Math" w:cs="Times New Roman"/>
                <w:i/>
                <w:iCs/>
                <w:sz w:val="24"/>
                <w:szCs w:val="24"/>
                <w:lang w:val="en-GB"/>
              </w:rPr>
            </m:ctrlPr>
          </m:sSubPr>
          <m:e>
            <m:r>
              <m:rPr>
                <m:scr m:val="double-struck"/>
              </m:rPr>
              <w:rPr>
                <w:rFonts w:ascii="Cambria Math" w:hAnsi="Cambria Math" w:cs="Times New Roman"/>
                <w:sz w:val="24"/>
                <w:szCs w:val="24"/>
                <w:lang w:val="en-GB"/>
              </w:rPr>
              <m:t>E</m:t>
            </m:r>
          </m:e>
          <m:sub>
            <m:r>
              <w:rPr>
                <w:rFonts w:ascii="Cambria Math" w:hAnsi="Cambria Math" w:cs="Times New Roman"/>
                <w:sz w:val="24"/>
                <w:szCs w:val="24"/>
                <w:lang w:val="en-GB"/>
              </w:rPr>
              <m:t>12</m:t>
            </m:r>
          </m:sub>
        </m:sSub>
        <m:d>
          <m:dPr>
            <m:begChr m:val="["/>
            <m:endChr m:val="]"/>
            <m:ctrlPr>
              <w:rPr>
                <w:rFonts w:ascii="Cambria Math" w:hAnsi="Cambria Math" w:cs="Times New Roman"/>
                <w:i/>
                <w:iCs/>
                <w:sz w:val="24"/>
                <w:szCs w:val="24"/>
                <w:lang w:val="en-GB"/>
              </w:rPr>
            </m:ctrlPr>
          </m:dPr>
          <m:e>
            <m:sSup>
              <m:sSupPr>
                <m:ctrlPr>
                  <w:rPr>
                    <w:rFonts w:ascii="Cambria Math" w:hAnsi="Cambria Math" w:cs="Times New Roman"/>
                    <w:i/>
                    <w:iCs/>
                    <w:sz w:val="24"/>
                    <w:szCs w:val="24"/>
                    <w:lang w:val="en-GB"/>
                  </w:rPr>
                </m:ctrlPr>
              </m:sSupPr>
              <m:e>
                <m:r>
                  <w:rPr>
                    <w:rFonts w:ascii="Cambria Math" w:hAnsi="Cambria Math" w:cs="Times New Roman"/>
                    <w:sz w:val="24"/>
                    <w:szCs w:val="24"/>
                    <w:lang w:val="en-GB"/>
                  </w:rPr>
                  <m:t>P</m:t>
                </m:r>
              </m:e>
              <m:sup>
                <m:r>
                  <w:rPr>
                    <w:rFonts w:ascii="Cambria Math" w:hAnsi="Cambria Math" w:cs="Times New Roman"/>
                    <w:sz w:val="24"/>
                    <w:szCs w:val="24"/>
                    <w:lang w:val="en-GB"/>
                  </w:rPr>
                  <m:t>Oil</m:t>
                </m:r>
              </m:sup>
            </m:sSup>
          </m:e>
        </m:d>
        <m:r>
          <w:rPr>
            <w:rFonts w:ascii="Cambria Math" w:hAnsi="Cambria Math" w:cs="Times New Roman"/>
            <w:sz w:val="24"/>
            <w:szCs w:val="24"/>
            <w:lang w:val="en-GB"/>
          </w:rPr>
          <m:t>=</m:t>
        </m:r>
        <m:sSup>
          <m:sSupPr>
            <m:ctrlPr>
              <w:rPr>
                <w:rFonts w:ascii="Cambria Math" w:hAnsi="Cambria Math" w:cs="Times New Roman"/>
                <w:i/>
                <w:iCs/>
                <w:sz w:val="24"/>
                <w:szCs w:val="24"/>
                <w:lang w:val="en-GB"/>
              </w:rPr>
            </m:ctrlPr>
          </m:sSupPr>
          <m:e>
            <m:r>
              <w:rPr>
                <w:rFonts w:ascii="Cambria Math" w:hAnsi="Cambria Math" w:cs="Times New Roman"/>
                <w:sz w:val="24"/>
                <w:szCs w:val="24"/>
                <w:lang w:val="en-GB"/>
              </w:rPr>
              <m:t>oil price forecast</m:t>
            </m:r>
          </m:e>
          <m:sup>
            <m:r>
              <w:rPr>
                <w:rFonts w:ascii="Cambria Math" w:hAnsi="Cambria Math" w:cs="Times New Roman"/>
                <w:sz w:val="24"/>
                <w:szCs w:val="24"/>
                <w:lang w:val="en-GB"/>
              </w:rPr>
              <m:t>High</m:t>
            </m:r>
          </m:sup>
        </m:sSup>
      </m:oMath>
      <w:r w:rsidR="00285464" w:rsidRPr="007D2E18">
        <w:rPr>
          <w:rFonts w:ascii="Times New Roman" w:eastAsiaTheme="minorEastAsia" w:hAnsi="Times New Roman" w:cs="Times New Roman"/>
          <w:iCs/>
          <w:sz w:val="24"/>
          <w:szCs w:val="24"/>
          <w:lang w:val="en-GB"/>
        </w:rPr>
        <w:t xml:space="preserve"> </w:t>
      </w:r>
      <w:r w:rsidRPr="007D2E18">
        <w:rPr>
          <w:rFonts w:ascii="Times New Roman" w:hAnsi="Times New Roman" w:cs="Times New Roman"/>
          <w:sz w:val="24"/>
          <w:szCs w:val="24"/>
          <w:lang w:val="en-GB"/>
        </w:rPr>
        <w:t xml:space="preserve">and </w:t>
      </w:r>
      <m:oMath>
        <m:sSub>
          <m:sSubPr>
            <m:ctrlPr>
              <w:rPr>
                <w:rFonts w:ascii="Cambria Math" w:hAnsi="Cambria Math" w:cs="Times New Roman"/>
                <w:i/>
                <w:iCs/>
                <w:sz w:val="24"/>
                <w:szCs w:val="24"/>
                <w:lang w:val="en-GB"/>
              </w:rPr>
            </m:ctrlPr>
          </m:sSubPr>
          <m:e>
            <m:r>
              <m:rPr>
                <m:scr m:val="double-struck"/>
              </m:rPr>
              <w:rPr>
                <w:rFonts w:ascii="Cambria Math" w:hAnsi="Cambria Math" w:cs="Times New Roman"/>
                <w:sz w:val="24"/>
                <w:szCs w:val="24"/>
                <w:lang w:val="en-GB"/>
              </w:rPr>
              <m:t>E</m:t>
            </m:r>
          </m:e>
          <m:sub>
            <m:r>
              <w:rPr>
                <w:rFonts w:ascii="Cambria Math" w:hAnsi="Cambria Math" w:cs="Times New Roman"/>
                <w:sz w:val="24"/>
                <w:szCs w:val="24"/>
                <w:lang w:val="en-GB"/>
              </w:rPr>
              <m:t>12</m:t>
            </m:r>
          </m:sub>
        </m:sSub>
        <m:d>
          <m:dPr>
            <m:begChr m:val="["/>
            <m:endChr m:val="]"/>
            <m:ctrlPr>
              <w:rPr>
                <w:rFonts w:ascii="Cambria Math" w:hAnsi="Cambria Math" w:cs="Times New Roman"/>
                <w:i/>
                <w:iCs/>
                <w:sz w:val="24"/>
                <w:szCs w:val="24"/>
                <w:lang w:val="en-GB"/>
              </w:rPr>
            </m:ctrlPr>
          </m:dPr>
          <m:e>
            <m:sSup>
              <m:sSupPr>
                <m:ctrlPr>
                  <w:rPr>
                    <w:rFonts w:ascii="Cambria Math" w:hAnsi="Cambria Math" w:cs="Times New Roman"/>
                    <w:i/>
                    <w:iCs/>
                    <w:sz w:val="24"/>
                    <w:szCs w:val="24"/>
                    <w:lang w:val="en-GB"/>
                  </w:rPr>
                </m:ctrlPr>
              </m:sSupPr>
              <m:e>
                <m:r>
                  <w:rPr>
                    <w:rFonts w:ascii="Cambria Math" w:hAnsi="Cambria Math" w:cs="Times New Roman"/>
                    <w:sz w:val="24"/>
                    <w:szCs w:val="24"/>
                    <w:lang w:val="en-GB"/>
                  </w:rPr>
                  <m:t>P</m:t>
                </m:r>
              </m:e>
              <m:sup>
                <m:r>
                  <w:rPr>
                    <w:rFonts w:ascii="Cambria Math" w:hAnsi="Cambria Math" w:cs="Times New Roman"/>
                    <w:sz w:val="24"/>
                    <w:szCs w:val="24"/>
                    <w:lang w:val="en-GB"/>
                  </w:rPr>
                  <m:t>Oil</m:t>
                </m:r>
              </m:sup>
            </m:sSup>
          </m:e>
        </m:d>
        <m:r>
          <w:rPr>
            <w:rFonts w:ascii="Cambria Math" w:hAnsi="Cambria Math" w:cs="Times New Roman"/>
            <w:sz w:val="24"/>
            <w:szCs w:val="24"/>
            <w:lang w:val="en-GB"/>
          </w:rPr>
          <m:t>=</m:t>
        </m:r>
        <m:sSup>
          <m:sSupPr>
            <m:ctrlPr>
              <w:rPr>
                <w:rFonts w:ascii="Cambria Math" w:hAnsi="Cambria Math" w:cs="Times New Roman"/>
                <w:i/>
                <w:iCs/>
                <w:sz w:val="24"/>
                <w:szCs w:val="24"/>
                <w:lang w:val="en-GB"/>
              </w:rPr>
            </m:ctrlPr>
          </m:sSupPr>
          <m:e>
            <m:r>
              <w:rPr>
                <w:rFonts w:ascii="Cambria Math" w:hAnsi="Cambria Math" w:cs="Times New Roman"/>
                <w:sz w:val="24"/>
                <w:szCs w:val="24"/>
                <w:lang w:val="en-GB"/>
              </w:rPr>
              <m:t>oil price forecast</m:t>
            </m:r>
          </m:e>
          <m:sup>
            <m:r>
              <w:rPr>
                <w:rFonts w:ascii="Cambria Math" w:hAnsi="Cambria Math" w:cs="Times New Roman"/>
                <w:sz w:val="24"/>
                <w:szCs w:val="24"/>
                <w:lang w:val="en-GB"/>
              </w:rPr>
              <m:t>Low</m:t>
            </m:r>
          </m:sup>
        </m:sSup>
      </m:oMath>
      <w:r w:rsidRPr="007D2E18">
        <w:rPr>
          <w:rFonts w:ascii="Times New Roman" w:hAnsi="Times New Roman" w:cs="Times New Roman"/>
          <w:sz w:val="24"/>
          <w:szCs w:val="24"/>
          <w:lang w:val="en-GB"/>
        </w:rPr>
        <w:t xml:space="preserve">, respectively and </w:t>
      </w:r>
      <m:oMath>
        <m:sSub>
          <m:sSubPr>
            <m:ctrlPr>
              <w:rPr>
                <w:rFonts w:ascii="Cambria Math" w:hAnsi="Cambria Math" w:cs="Times New Roman"/>
                <w:i/>
                <w:iCs/>
                <w:sz w:val="24"/>
                <w:szCs w:val="24"/>
                <w:lang w:val="en-GB"/>
              </w:rPr>
            </m:ctrlPr>
          </m:sSubPr>
          <m:e>
            <m:r>
              <m:rPr>
                <m:scr m:val="double-struck"/>
              </m:rPr>
              <w:rPr>
                <w:rFonts w:ascii="Cambria Math" w:hAnsi="Cambria Math" w:cs="Times New Roman"/>
                <w:sz w:val="24"/>
                <w:szCs w:val="24"/>
                <w:lang w:val="en-GB"/>
              </w:rPr>
              <m:t>E</m:t>
            </m:r>
          </m:e>
          <m:sub>
            <m:r>
              <w:rPr>
                <w:rFonts w:ascii="Cambria Math" w:hAnsi="Cambria Math" w:cs="Times New Roman"/>
                <w:sz w:val="24"/>
                <w:szCs w:val="24"/>
                <w:lang w:val="en-GB"/>
              </w:rPr>
              <m:t>12</m:t>
            </m:r>
          </m:sub>
        </m:sSub>
      </m:oMath>
      <w:r w:rsidRPr="007D2E18">
        <w:rPr>
          <w:rFonts w:ascii="Times New Roman" w:hAnsi="Times New Roman" w:cs="Times New Roman"/>
          <w:sz w:val="24"/>
          <w:szCs w:val="24"/>
          <w:lang w:val="en-GB"/>
        </w:rPr>
        <w:t xml:space="preserve"> is the forecast 12-months-ahead. Hence, the difference</w:t>
      </w:r>
      <m:oMath>
        <m:r>
          <m:rPr>
            <m:scr m:val="double-struck"/>
          </m:rPr>
          <w:rPr>
            <w:rFonts w:ascii="Cambria Math" w:hAnsi="Cambria Math" w:cs="Times New Roman"/>
            <w:sz w:val="24"/>
            <w:szCs w:val="24"/>
            <w:lang w:val="en-GB"/>
          </w:rPr>
          <m:t xml:space="preserve"> D</m:t>
        </m:r>
        <m:d>
          <m:dPr>
            <m:begChr m:val="["/>
            <m:endChr m:val="]"/>
            <m:ctrlPr>
              <w:rPr>
                <w:rFonts w:ascii="Cambria Math" w:hAnsi="Cambria Math" w:cs="Times New Roman"/>
                <w:i/>
                <w:iCs/>
                <w:sz w:val="24"/>
                <w:szCs w:val="24"/>
                <w:lang w:val="en-GB"/>
              </w:rPr>
            </m:ctrlPr>
          </m:dPr>
          <m:e>
            <m:sSup>
              <m:sSupPr>
                <m:ctrlPr>
                  <w:rPr>
                    <w:rFonts w:ascii="Cambria Math" w:hAnsi="Cambria Math" w:cs="Times New Roman"/>
                    <w:i/>
                    <w:iCs/>
                    <w:sz w:val="24"/>
                    <w:szCs w:val="24"/>
                    <w:lang w:val="en-GB"/>
                  </w:rPr>
                </m:ctrlPr>
              </m:sSupPr>
              <m:e>
                <m:r>
                  <w:rPr>
                    <w:rFonts w:ascii="Cambria Math" w:hAnsi="Cambria Math" w:cs="Times New Roman"/>
                    <w:sz w:val="24"/>
                    <w:szCs w:val="24"/>
                    <w:lang w:val="en-GB"/>
                  </w:rPr>
                  <m:t>P</m:t>
                </m:r>
              </m:e>
              <m:sup>
                <m:r>
                  <w:rPr>
                    <w:rFonts w:ascii="Cambria Math" w:hAnsi="Cambria Math" w:cs="Times New Roman"/>
                    <w:sz w:val="24"/>
                    <w:szCs w:val="24"/>
                    <w:lang w:val="en-GB"/>
                  </w:rPr>
                  <m:t>Oil</m:t>
                </m:r>
              </m:sup>
            </m:sSup>
          </m:e>
        </m:d>
        <m:r>
          <w:rPr>
            <w:rFonts w:ascii="Cambria Math" w:hAnsi="Cambria Math" w:cs="Times New Roman"/>
            <w:sz w:val="24"/>
            <w:szCs w:val="24"/>
            <w:lang w:val="en-GB"/>
          </w:rPr>
          <m:t>=</m:t>
        </m:r>
        <m:d>
          <m:dPr>
            <m:begChr m:val="["/>
            <m:endChr m:val="]"/>
            <m:ctrlPr>
              <w:rPr>
                <w:rFonts w:ascii="Cambria Math" w:hAnsi="Cambria Math" w:cs="Times New Roman"/>
                <w:i/>
                <w:iCs/>
                <w:sz w:val="24"/>
                <w:szCs w:val="24"/>
                <w:lang w:val="en-GB"/>
              </w:rPr>
            </m:ctrlPr>
          </m:dPr>
          <m:e>
            <m:sSup>
              <m:sSupPr>
                <m:ctrlPr>
                  <w:rPr>
                    <w:rFonts w:ascii="Cambria Math" w:hAnsi="Cambria Math" w:cs="Times New Roman"/>
                    <w:i/>
                    <w:iCs/>
                    <w:sz w:val="24"/>
                    <w:szCs w:val="24"/>
                    <w:lang w:val="en-GB"/>
                  </w:rPr>
                </m:ctrlPr>
              </m:sSupPr>
              <m:e>
                <m:r>
                  <w:rPr>
                    <w:rFonts w:ascii="Cambria Math" w:hAnsi="Cambria Math" w:cs="Times New Roman"/>
                    <w:sz w:val="24"/>
                    <w:szCs w:val="24"/>
                    <w:lang w:val="en-GB"/>
                  </w:rPr>
                  <m:t>oil price forecast</m:t>
                </m:r>
              </m:e>
              <m:sup>
                <m:r>
                  <w:rPr>
                    <w:rFonts w:ascii="Cambria Math" w:hAnsi="Cambria Math" w:cs="Times New Roman"/>
                    <w:sz w:val="24"/>
                    <w:szCs w:val="24"/>
                    <w:lang w:val="en-GB"/>
                  </w:rPr>
                  <m:t>High</m:t>
                </m:r>
              </m:sup>
            </m:sSup>
            <m:r>
              <w:rPr>
                <w:rFonts w:ascii="Cambria Math" w:hAnsi="Cambria Math" w:cs="Times New Roman"/>
                <w:sz w:val="24"/>
                <w:szCs w:val="24"/>
                <w:lang w:val="en-GB"/>
              </w:rPr>
              <m:t>-</m:t>
            </m:r>
            <m:sSup>
              <m:sSupPr>
                <m:ctrlPr>
                  <w:rPr>
                    <w:rFonts w:ascii="Cambria Math" w:hAnsi="Cambria Math" w:cs="Times New Roman"/>
                    <w:i/>
                    <w:iCs/>
                    <w:sz w:val="24"/>
                    <w:szCs w:val="24"/>
                    <w:lang w:val="en-GB"/>
                  </w:rPr>
                </m:ctrlPr>
              </m:sSupPr>
              <m:e>
                <m:r>
                  <w:rPr>
                    <w:rFonts w:ascii="Cambria Math" w:hAnsi="Cambria Math" w:cs="Times New Roman"/>
                    <w:sz w:val="24"/>
                    <w:szCs w:val="24"/>
                    <w:lang w:val="en-GB"/>
                  </w:rPr>
                  <m:t>oil price forecast</m:t>
                </m:r>
              </m:e>
              <m:sup>
                <m:r>
                  <w:rPr>
                    <w:rFonts w:ascii="Cambria Math" w:hAnsi="Cambria Math" w:cs="Times New Roman"/>
                    <w:sz w:val="24"/>
                    <w:szCs w:val="24"/>
                    <w:lang w:val="en-GB"/>
                  </w:rPr>
                  <m:t>Low</m:t>
                </m:r>
              </m:sup>
            </m:sSup>
          </m:e>
        </m:d>
      </m:oMath>
      <w:r w:rsidRPr="007D2E18">
        <w:rPr>
          <w:rFonts w:ascii="Times New Roman" w:hAnsi="Times New Roman" w:cs="Times New Roman"/>
          <w:sz w:val="24"/>
          <w:szCs w:val="24"/>
          <w:lang w:val="en-GB"/>
        </w:rPr>
        <w:t>, measures the dispersion or, in other words, the degree to which the consensus is achieved in forming oil price forecasts; the greater the uncertainty, the smaller the consensus achieved.</w:t>
      </w:r>
    </w:p>
    <w:p w14:paraId="40E35B16" w14:textId="77777777" w:rsidR="00394FA1" w:rsidRPr="007D2E18" w:rsidRDefault="00394FA1" w:rsidP="00A456AE">
      <w:pPr>
        <w:spacing w:after="0" w:line="240" w:lineRule="auto"/>
        <w:jc w:val="both"/>
        <w:rPr>
          <w:rFonts w:ascii="Times New Roman" w:hAnsi="Times New Roman" w:cs="Times New Roman"/>
          <w:sz w:val="24"/>
          <w:szCs w:val="24"/>
          <w:lang w:val="en-GB"/>
        </w:rPr>
      </w:pPr>
    </w:p>
    <w:p w14:paraId="4823B1E7" w14:textId="27108C4E" w:rsidR="0085000C"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Figure 1 exhibits the time series of actual oil prices, and CF expectations and dispersion. Notice that exogenous to all of these variables, including </w:t>
      </w:r>
      <w:r w:rsidRPr="007D2E18">
        <w:rPr>
          <w:rFonts w:ascii="Times New Roman" w:hAnsi="Times New Roman" w:cs="Times New Roman"/>
          <w:i/>
          <w:iCs/>
          <w:sz w:val="24"/>
          <w:szCs w:val="24"/>
          <w:lang w:val="en-GB"/>
        </w:rPr>
        <w:t>GT&amp;N</w:t>
      </w:r>
      <w:r w:rsidRPr="007D2E18">
        <w:rPr>
          <w:rFonts w:ascii="Times New Roman" w:hAnsi="Times New Roman" w:cs="Times New Roman"/>
          <w:sz w:val="24"/>
          <w:szCs w:val="24"/>
          <w:lang w:val="en-GB"/>
        </w:rPr>
        <w:t xml:space="preserve">, there is a noticeable impact of the 2008-09 </w:t>
      </w:r>
      <w:r w:rsidRPr="007D2E18">
        <w:rPr>
          <w:rFonts w:ascii="Times New Roman" w:hAnsi="Times New Roman" w:cs="Times New Roman"/>
          <w:i/>
          <w:iCs/>
          <w:sz w:val="24"/>
          <w:szCs w:val="24"/>
          <w:lang w:val="en-GB"/>
        </w:rPr>
        <w:t>Global Financial Crisis</w:t>
      </w:r>
      <w:r w:rsidRPr="007D2E18">
        <w:rPr>
          <w:rFonts w:ascii="Times New Roman" w:hAnsi="Times New Roman" w:cs="Times New Roman"/>
          <w:sz w:val="24"/>
          <w:szCs w:val="24"/>
          <w:lang w:val="en-GB"/>
        </w:rPr>
        <w:t xml:space="preserve"> initiated after the bankruptcy of </w:t>
      </w:r>
      <w:r w:rsidRPr="007D2E18">
        <w:rPr>
          <w:rFonts w:ascii="Times New Roman" w:hAnsi="Times New Roman" w:cs="Times New Roman"/>
          <w:i/>
          <w:iCs/>
          <w:sz w:val="24"/>
          <w:szCs w:val="24"/>
          <w:lang w:val="en-GB"/>
        </w:rPr>
        <w:t>Lehmann Brothers</w:t>
      </w:r>
      <w:r w:rsidRPr="007D2E18">
        <w:rPr>
          <w:rFonts w:ascii="Times New Roman" w:hAnsi="Times New Roman" w:cs="Times New Roman"/>
          <w:sz w:val="24"/>
          <w:szCs w:val="24"/>
          <w:lang w:val="en-GB"/>
        </w:rPr>
        <w:t xml:space="preserve"> investment bank in the United States. As shown in Figure A1, we notice a number of disturbances during 2001 (due to the 9/11 terrorist attacks), 2003 (Iraq War), mid-2005 (Lebanon War), and the 2011-12 period (Arab Spring). Table 2 presents the descriptive statistics of all involved series using the transformation that achieves stationarity according to the Augmented Dickey-Fuller (ADF), Kwiatkowski, Phillips, Schmidt, and Shin (KPSS), and Phillips-Perron (PP) tests.</w:t>
      </w:r>
    </w:p>
    <w:p w14:paraId="469A678E" w14:textId="77777777" w:rsidR="00394FA1" w:rsidRPr="007D2E18" w:rsidRDefault="00394FA1" w:rsidP="00A456AE">
      <w:pPr>
        <w:spacing w:after="0" w:line="240" w:lineRule="auto"/>
        <w:jc w:val="both"/>
        <w:rPr>
          <w:rFonts w:ascii="Times New Roman" w:hAnsi="Times New Roman" w:cs="Times New Roman"/>
          <w:sz w:val="24"/>
          <w:szCs w:val="24"/>
          <w:lang w:val="en-GB"/>
        </w:rPr>
      </w:pPr>
    </w:p>
    <w:p w14:paraId="392C0D79" w14:textId="463050D9" w:rsidR="0085000C" w:rsidRPr="007D2E18" w:rsidRDefault="0085000C" w:rsidP="00394FA1">
      <w:pPr>
        <w:spacing w:after="0" w:line="240" w:lineRule="auto"/>
        <w:jc w:val="center"/>
        <w:rPr>
          <w:rFonts w:ascii="Times New Roman" w:hAnsi="Times New Roman" w:cs="Times New Roman"/>
          <w:lang w:val="en-GB"/>
        </w:rPr>
      </w:pPr>
      <w:r w:rsidRPr="007D2E18">
        <w:rPr>
          <w:rFonts w:ascii="Times New Roman" w:hAnsi="Times New Roman" w:cs="Times New Roman"/>
          <w:lang w:val="en-GB"/>
        </w:rPr>
        <w:t>Figure 1. Brent oil price, oil price forecasts and dispersion (*)</w:t>
      </w:r>
    </w:p>
    <w:p w14:paraId="29B894F9" w14:textId="2A8FE621" w:rsidR="0085000C" w:rsidRPr="007D2E18" w:rsidRDefault="0085000C" w:rsidP="00394FA1">
      <w:pPr>
        <w:spacing w:after="0" w:line="240" w:lineRule="auto"/>
        <w:jc w:val="center"/>
        <w:rPr>
          <w:rFonts w:ascii="Times New Roman" w:hAnsi="Times New Roman" w:cs="Times New Roman"/>
          <w:lang w:val="en-GB"/>
        </w:rPr>
      </w:pPr>
      <w:r w:rsidRPr="007D2E18">
        <w:rPr>
          <w:rFonts w:ascii="Times New Roman" w:hAnsi="Times New Roman" w:cs="Times New Roman"/>
          <w:lang w:val="en-GB"/>
        </w:rPr>
        <w:t>(*) Source: Authors</w:t>
      </w:r>
      <w:r w:rsidR="00394FA1" w:rsidRPr="007D2E18">
        <w:rPr>
          <w:rFonts w:ascii="Times New Roman" w:hAnsi="Times New Roman" w:cs="Times New Roman"/>
          <w:lang w:val="en-GB"/>
        </w:rPr>
        <w:t>’</w:t>
      </w:r>
      <w:r w:rsidRPr="007D2E18">
        <w:rPr>
          <w:rFonts w:ascii="Times New Roman" w:hAnsi="Times New Roman" w:cs="Times New Roman"/>
          <w:lang w:val="en-GB"/>
        </w:rPr>
        <w:t xml:space="preserve"> elaboration using data from Bloomberg, Consensus Forecast, and López and Muñoz (2012).</w:t>
      </w:r>
    </w:p>
    <w:p w14:paraId="2937EC33" w14:textId="77777777" w:rsidR="0085000C" w:rsidRPr="007D2E18" w:rsidRDefault="0085000C" w:rsidP="00A456AE">
      <w:pPr>
        <w:spacing w:after="0" w:line="240" w:lineRule="auto"/>
        <w:jc w:val="both"/>
        <w:rPr>
          <w:rFonts w:ascii="Times New Roman" w:hAnsi="Times New Roman" w:cs="Times New Roman"/>
          <w:sz w:val="24"/>
          <w:szCs w:val="24"/>
          <w:lang w:val="en-GB"/>
        </w:rPr>
      </w:pPr>
    </w:p>
    <w:p w14:paraId="719C100E" w14:textId="65DE37E0" w:rsidR="0085000C" w:rsidRPr="007D2E18" w:rsidRDefault="0085000C" w:rsidP="00394FA1">
      <w:pPr>
        <w:spacing w:after="0" w:line="240" w:lineRule="auto"/>
        <w:jc w:val="center"/>
        <w:rPr>
          <w:rFonts w:ascii="Times New Roman" w:hAnsi="Times New Roman" w:cs="Times New Roman"/>
          <w:lang w:val="en-GB"/>
        </w:rPr>
      </w:pPr>
      <w:r w:rsidRPr="007D2E18">
        <w:rPr>
          <w:rFonts w:ascii="Times New Roman" w:hAnsi="Times New Roman" w:cs="Times New Roman"/>
          <w:lang w:val="en-GB"/>
        </w:rPr>
        <w:t>Table 2. Descriptive statistics of the time series (*)</w:t>
      </w:r>
    </w:p>
    <w:p w14:paraId="5FD11B02" w14:textId="49E57D15" w:rsidR="0085000C" w:rsidRPr="007D2E18" w:rsidRDefault="0085000C" w:rsidP="00394FA1">
      <w:pPr>
        <w:spacing w:after="0" w:line="240" w:lineRule="auto"/>
        <w:jc w:val="both"/>
        <w:rPr>
          <w:rFonts w:ascii="Times New Roman" w:hAnsi="Times New Roman" w:cs="Times New Roman"/>
          <w:lang w:val="en-GB"/>
        </w:rPr>
      </w:pPr>
      <w:r w:rsidRPr="007D2E18">
        <w:rPr>
          <w:rFonts w:ascii="Times New Roman" w:hAnsi="Times New Roman" w:cs="Times New Roman"/>
          <w:lang w:val="en-GB"/>
        </w:rPr>
        <w:t xml:space="preserve">(*) Sample: 2001.1-2012.3 (135 obs.). </w:t>
      </w:r>
      <w:r w:rsidR="00394FA1" w:rsidRPr="007D2E18">
        <w:rPr>
          <w:rFonts w:ascii="Times New Roman" w:hAnsi="Times New Roman" w:cs="Times New Roman"/>
          <w:lang w:val="en-GB"/>
        </w:rPr>
        <w:t>“</w:t>
      </w:r>
      <w:r w:rsidRPr="007D2E18">
        <w:rPr>
          <w:rFonts w:ascii="Times New Roman" w:hAnsi="Times New Roman" w:cs="Times New Roman"/>
          <w:lang w:val="en-GB"/>
        </w:rPr>
        <w:t>ADF</w:t>
      </w:r>
      <w:r w:rsidR="00394FA1" w:rsidRPr="007D2E18">
        <w:rPr>
          <w:rFonts w:ascii="Times New Roman" w:hAnsi="Times New Roman" w:cs="Times New Roman"/>
          <w:lang w:val="en-GB"/>
        </w:rPr>
        <w:t>”</w:t>
      </w:r>
      <w:r w:rsidRPr="007D2E18">
        <w:rPr>
          <w:rFonts w:ascii="Times New Roman" w:hAnsi="Times New Roman" w:cs="Times New Roman"/>
          <w:lang w:val="en-GB"/>
        </w:rPr>
        <w:t xml:space="preserve"> stands for Augmented Dickey-Fuller test (NH: the series has a unit root). </w:t>
      </w:r>
      <w:r w:rsidR="00394FA1" w:rsidRPr="007D2E18">
        <w:rPr>
          <w:rFonts w:ascii="Times New Roman" w:hAnsi="Times New Roman" w:cs="Times New Roman"/>
          <w:lang w:val="en-GB"/>
        </w:rPr>
        <w:t>“</w:t>
      </w:r>
      <w:r w:rsidRPr="007D2E18">
        <w:rPr>
          <w:rFonts w:ascii="Times New Roman" w:hAnsi="Times New Roman" w:cs="Times New Roman"/>
          <w:lang w:val="en-GB"/>
        </w:rPr>
        <w:t>KPSS</w:t>
      </w:r>
      <w:r w:rsidR="00394FA1" w:rsidRPr="007D2E18">
        <w:rPr>
          <w:rFonts w:ascii="Times New Roman" w:hAnsi="Times New Roman" w:cs="Times New Roman"/>
          <w:lang w:val="en-GB"/>
        </w:rPr>
        <w:t>”</w:t>
      </w:r>
      <w:r w:rsidRPr="007D2E18">
        <w:rPr>
          <w:rFonts w:ascii="Times New Roman" w:hAnsi="Times New Roman" w:cs="Times New Roman"/>
          <w:lang w:val="en-GB"/>
        </w:rPr>
        <w:t xml:space="preserve"> stands for the Kwiatkowski, Phillips, Schmidt, and Shin test (NH: the series is stationary). </w:t>
      </w:r>
      <w:r w:rsidR="00394FA1" w:rsidRPr="007D2E18">
        <w:rPr>
          <w:rFonts w:ascii="Times New Roman" w:hAnsi="Times New Roman" w:cs="Times New Roman"/>
          <w:lang w:val="en-GB"/>
        </w:rPr>
        <w:t>“</w:t>
      </w:r>
      <w:r w:rsidRPr="007D2E18">
        <w:rPr>
          <w:rFonts w:ascii="Times New Roman" w:hAnsi="Times New Roman" w:cs="Times New Roman"/>
          <w:lang w:val="en-GB"/>
        </w:rPr>
        <w:t>PP</w:t>
      </w:r>
      <w:r w:rsidR="00394FA1" w:rsidRPr="007D2E18">
        <w:rPr>
          <w:rFonts w:ascii="Times New Roman" w:hAnsi="Times New Roman" w:cs="Times New Roman"/>
          <w:lang w:val="en-GB"/>
        </w:rPr>
        <w:t>”</w:t>
      </w:r>
      <w:r w:rsidRPr="007D2E18">
        <w:rPr>
          <w:rFonts w:ascii="Times New Roman" w:hAnsi="Times New Roman" w:cs="Times New Roman"/>
          <w:lang w:val="en-GB"/>
        </w:rPr>
        <w:t xml:space="preserve"> stands for the Phillips and Perron test (NH: the series has a unit root). All test regressions include a constant and a lag length criterion based on the Bayesian Information Criterion searching in a maximum of 12 lags, except </w:t>
      </w:r>
      <m:oMath>
        <m:r>
          <m:rPr>
            <m:scr m:val="double-struck"/>
          </m:rPr>
          <w:rPr>
            <w:rFonts w:ascii="Cambria Math" w:hAnsi="Cambria Math" w:cs="Times New Roman"/>
            <w:lang w:val="en-GB"/>
          </w:rPr>
          <m:t>D</m:t>
        </m:r>
        <m:d>
          <m:dPr>
            <m:begChr m:val="["/>
            <m:endChr m:val="]"/>
            <m:ctrlPr>
              <w:rPr>
                <w:rFonts w:ascii="Cambria Math" w:hAnsi="Cambria Math" w:cs="Times New Roman"/>
                <w:i/>
                <w:iCs/>
                <w:lang w:val="en-GB"/>
              </w:rPr>
            </m:ctrlPr>
          </m:dPr>
          <m:e>
            <m:sSup>
              <m:sSupPr>
                <m:ctrlPr>
                  <w:rPr>
                    <w:rFonts w:ascii="Cambria Math" w:hAnsi="Cambria Math" w:cs="Times New Roman"/>
                    <w:i/>
                    <w:iCs/>
                    <w:lang w:val="en-GB"/>
                  </w:rPr>
                </m:ctrlPr>
              </m:sSupPr>
              <m:e>
                <m:r>
                  <w:rPr>
                    <w:rFonts w:ascii="Cambria Math" w:hAnsi="Cambria Math" w:cs="Times New Roman"/>
                    <w:lang w:val="en-GB"/>
                  </w:rPr>
                  <m:t>P</m:t>
                </m:r>
              </m:e>
              <m:sup>
                <m:r>
                  <w:rPr>
                    <w:rFonts w:ascii="Cambria Math" w:hAnsi="Cambria Math" w:cs="Times New Roman"/>
                    <w:lang w:val="en-GB"/>
                  </w:rPr>
                  <m:t>Oil</m:t>
                </m:r>
              </m:sup>
            </m:sSup>
          </m:e>
        </m:d>
      </m:oMath>
      <w:r w:rsidRPr="007D2E18">
        <w:rPr>
          <w:rFonts w:ascii="Times New Roman" w:hAnsi="Times New Roman" w:cs="Times New Roman"/>
          <w:lang w:val="en-GB"/>
        </w:rPr>
        <w:t xml:space="preserve"> that includes a trend and one (fixed) lag. Source: Authors</w:t>
      </w:r>
      <w:r w:rsidR="00394FA1" w:rsidRPr="007D2E18">
        <w:rPr>
          <w:rFonts w:ascii="Times New Roman" w:hAnsi="Times New Roman" w:cs="Times New Roman"/>
          <w:lang w:val="en-GB"/>
        </w:rPr>
        <w:t>’</w:t>
      </w:r>
      <w:r w:rsidRPr="007D2E18">
        <w:rPr>
          <w:rFonts w:ascii="Times New Roman" w:hAnsi="Times New Roman" w:cs="Times New Roman"/>
          <w:lang w:val="en-GB"/>
        </w:rPr>
        <w:t xml:space="preserve"> elaboration using data from Bloomberg, Consensus Forecast, and López and Muñoz (2012).</w:t>
      </w:r>
    </w:p>
    <w:p w14:paraId="74061662" w14:textId="77777777" w:rsidR="0085000C" w:rsidRPr="007D2E18" w:rsidRDefault="0085000C" w:rsidP="00A456AE">
      <w:pPr>
        <w:spacing w:after="0" w:line="240" w:lineRule="auto"/>
        <w:jc w:val="both"/>
        <w:rPr>
          <w:rFonts w:ascii="Times New Roman" w:hAnsi="Times New Roman" w:cs="Times New Roman"/>
          <w:sz w:val="24"/>
          <w:szCs w:val="24"/>
          <w:lang w:val="en-GB"/>
        </w:rPr>
      </w:pPr>
    </w:p>
    <w:p w14:paraId="289594B4" w14:textId="685F06C5" w:rsidR="0085000C" w:rsidRPr="007D2E18" w:rsidRDefault="00394FA1" w:rsidP="00394FA1">
      <w:pPr>
        <w:pStyle w:val="Prrafodelista"/>
        <w:numPr>
          <w:ilvl w:val="0"/>
          <w:numId w:val="1"/>
        </w:numPr>
        <w:spacing w:after="0" w:line="240" w:lineRule="auto"/>
        <w:jc w:val="both"/>
        <w:rPr>
          <w:rFonts w:ascii="Times New Roman" w:hAnsi="Times New Roman" w:cs="Times New Roman"/>
          <w:b/>
          <w:bCs/>
          <w:sz w:val="24"/>
          <w:szCs w:val="24"/>
          <w:lang w:val="en-GB"/>
        </w:rPr>
      </w:pPr>
      <w:r w:rsidRPr="007D2E18">
        <w:rPr>
          <w:rFonts w:ascii="Times New Roman" w:hAnsi="Times New Roman" w:cs="Times New Roman"/>
          <w:b/>
          <w:bCs/>
          <w:sz w:val="24"/>
          <w:szCs w:val="24"/>
          <w:lang w:val="en-GB"/>
        </w:rPr>
        <w:t>RESULTS</w:t>
      </w:r>
    </w:p>
    <w:p w14:paraId="2DD2C29A" w14:textId="77777777" w:rsidR="00394FA1" w:rsidRPr="007D2E18" w:rsidRDefault="00394FA1" w:rsidP="00A456AE">
      <w:pPr>
        <w:spacing w:after="0" w:line="240" w:lineRule="auto"/>
        <w:jc w:val="both"/>
        <w:rPr>
          <w:rFonts w:ascii="Times New Roman" w:hAnsi="Times New Roman" w:cs="Times New Roman"/>
          <w:sz w:val="24"/>
          <w:szCs w:val="24"/>
          <w:lang w:val="en-GB"/>
        </w:rPr>
      </w:pPr>
    </w:p>
    <w:p w14:paraId="52677249" w14:textId="77777777" w:rsidR="00394FA1"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The results using the </w:t>
      </w:r>
      <w:r w:rsidRPr="007D2E18">
        <w:rPr>
          <w:rFonts w:ascii="Times New Roman" w:hAnsi="Times New Roman" w:cs="Times New Roman"/>
          <w:i/>
          <w:iCs/>
          <w:sz w:val="24"/>
          <w:szCs w:val="24"/>
          <w:lang w:val="en-GB"/>
        </w:rPr>
        <w:t>GT&amp;N</w:t>
      </w:r>
      <w:r w:rsidRPr="007D2E18">
        <w:rPr>
          <w:rFonts w:ascii="Times New Roman" w:hAnsi="Times New Roman" w:cs="Times New Roman"/>
          <w:sz w:val="24"/>
          <w:szCs w:val="24"/>
          <w:lang w:val="en-GB"/>
        </w:rPr>
        <w:t xml:space="preserve"> variable are reported in Table 3. In the first panel, H1 shows that from the third up to the sixth lag, </w:t>
      </w:r>
      <w:r w:rsidRPr="007D2E18">
        <w:rPr>
          <w:rFonts w:ascii="Times New Roman" w:hAnsi="Times New Roman" w:cs="Times New Roman"/>
          <w:i/>
          <w:iCs/>
          <w:sz w:val="24"/>
          <w:szCs w:val="24"/>
          <w:lang w:val="en-GB"/>
        </w:rPr>
        <w:t>GT&amp;N</w:t>
      </w:r>
      <w:r w:rsidRPr="007D2E18">
        <w:rPr>
          <w:rFonts w:ascii="Times New Roman" w:hAnsi="Times New Roman" w:cs="Times New Roman"/>
          <w:sz w:val="24"/>
          <w:szCs w:val="24"/>
          <w:lang w:val="en-GB"/>
        </w:rPr>
        <w:t xml:space="preserve"> cause oil price at 5% significance level. This implies that geopolitical tensions and news take at least three months to affect Brent oil prices. Given the relevance of oil to both </w:t>
      </w:r>
      <w:r w:rsidRPr="007D2E18">
        <w:rPr>
          <w:rFonts w:ascii="Times New Roman" w:hAnsi="Times New Roman" w:cs="Times New Roman"/>
          <w:sz w:val="24"/>
          <w:szCs w:val="24"/>
          <w:lang w:val="en-GB"/>
        </w:rPr>
        <w:lastRenderedPageBreak/>
        <w:t xml:space="preserve">producers and buyers, the market works with forward contracts to reduce the uncertainty surrounding final prices and just a portion of deals are closed at spot prices. This is relevant to understand the short lag in which </w:t>
      </w:r>
      <w:r w:rsidRPr="007D2E18">
        <w:rPr>
          <w:rFonts w:ascii="Times New Roman" w:hAnsi="Times New Roman" w:cs="Times New Roman"/>
          <w:i/>
          <w:iCs/>
          <w:sz w:val="24"/>
          <w:szCs w:val="24"/>
          <w:lang w:val="en-GB"/>
        </w:rPr>
        <w:t>GT&amp;N</w:t>
      </w:r>
      <w:r w:rsidRPr="007D2E18">
        <w:rPr>
          <w:rFonts w:ascii="Times New Roman" w:hAnsi="Times New Roman" w:cs="Times New Roman"/>
          <w:sz w:val="24"/>
          <w:szCs w:val="24"/>
          <w:lang w:val="en-GB"/>
        </w:rPr>
        <w:t xml:space="preserve"> affect oil prices and the apparent disconnection between these two variables. These results are supported by the Breusch-Godfrey test showing no serial correlation. The H1 Inverse hypothesis, in turn, rejects the hypothesis of a feedback relationship between </w:t>
      </w:r>
      <w:r w:rsidRPr="007D2E18">
        <w:rPr>
          <w:rFonts w:ascii="Times New Roman" w:hAnsi="Times New Roman" w:cs="Times New Roman"/>
          <w:i/>
          <w:iCs/>
          <w:sz w:val="24"/>
          <w:szCs w:val="24"/>
          <w:lang w:val="en-GB"/>
        </w:rPr>
        <w:t>GT&amp;N</w:t>
      </w:r>
      <w:r w:rsidRPr="007D2E18">
        <w:rPr>
          <w:rFonts w:ascii="Times New Roman" w:hAnsi="Times New Roman" w:cs="Times New Roman"/>
          <w:sz w:val="24"/>
          <w:szCs w:val="24"/>
          <w:lang w:val="en-GB"/>
        </w:rPr>
        <w:t xml:space="preserve"> and oil price, confirming the unidirectional effect of </w:t>
      </w:r>
      <w:r w:rsidRPr="007D2E18">
        <w:rPr>
          <w:rFonts w:ascii="Times New Roman" w:hAnsi="Times New Roman" w:cs="Times New Roman"/>
          <w:i/>
          <w:iCs/>
          <w:sz w:val="24"/>
          <w:szCs w:val="24"/>
          <w:lang w:val="en-GB"/>
        </w:rPr>
        <w:t>GT&amp;N</w:t>
      </w:r>
      <w:r w:rsidRPr="007D2E18">
        <w:rPr>
          <w:rFonts w:ascii="Times New Roman" w:hAnsi="Times New Roman" w:cs="Times New Roman"/>
          <w:sz w:val="24"/>
          <w:szCs w:val="24"/>
          <w:lang w:val="en-GB"/>
        </w:rPr>
        <w:t xml:space="preserve"> causing oil price.</w:t>
      </w:r>
    </w:p>
    <w:p w14:paraId="19CA4E5B" w14:textId="77777777" w:rsidR="00394FA1" w:rsidRPr="007D2E18" w:rsidRDefault="00394FA1" w:rsidP="00A456AE">
      <w:pPr>
        <w:spacing w:after="0" w:line="240" w:lineRule="auto"/>
        <w:jc w:val="both"/>
        <w:rPr>
          <w:rFonts w:ascii="Times New Roman" w:hAnsi="Times New Roman" w:cs="Times New Roman"/>
          <w:sz w:val="24"/>
          <w:szCs w:val="24"/>
          <w:lang w:val="en-GB"/>
        </w:rPr>
      </w:pPr>
    </w:p>
    <w:p w14:paraId="3FBB4144" w14:textId="7B1FE250" w:rsidR="0085000C"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The two-month lag with which </w:t>
      </w:r>
      <w:r w:rsidRPr="007D2E18">
        <w:rPr>
          <w:rFonts w:ascii="Times New Roman" w:hAnsi="Times New Roman" w:cs="Times New Roman"/>
          <w:i/>
          <w:iCs/>
          <w:sz w:val="24"/>
          <w:szCs w:val="24"/>
          <w:lang w:val="en-GB"/>
        </w:rPr>
        <w:t>GT&amp;N</w:t>
      </w:r>
      <w:r w:rsidRPr="007D2E18">
        <w:rPr>
          <w:rFonts w:ascii="Times New Roman" w:hAnsi="Times New Roman" w:cs="Times New Roman"/>
          <w:sz w:val="24"/>
          <w:szCs w:val="24"/>
          <w:lang w:val="en-GB"/>
        </w:rPr>
        <w:t xml:space="preserve"> operates over the oil price disappears when considering the results of the second panel, where </w:t>
      </w:r>
      <w:r w:rsidRPr="007D2E18">
        <w:rPr>
          <w:rFonts w:ascii="Times New Roman" w:hAnsi="Times New Roman" w:cs="Times New Roman"/>
          <w:i/>
          <w:iCs/>
          <w:sz w:val="24"/>
          <w:szCs w:val="24"/>
          <w:lang w:val="en-GB"/>
        </w:rPr>
        <w:t>GT&amp;N</w:t>
      </w:r>
      <w:r w:rsidRPr="007D2E18">
        <w:rPr>
          <w:rFonts w:ascii="Times New Roman" w:hAnsi="Times New Roman" w:cs="Times New Roman"/>
          <w:sz w:val="24"/>
          <w:szCs w:val="24"/>
          <w:lang w:val="en-GB"/>
        </w:rPr>
        <w:t xml:space="preserve"> cause oil price expectations for all lags except the second. This implies that forecasters already consider geopolitical tensions and news when forming their expectations about oil prices. Notice also that we are considering 12-month-ahead forecasts, and thus, tensions and news that are affecting forecasts more permanently than immediate and short-term shocks. The Breusch-Godfrey test finds no serial correlation at the 10% level of significance. Finally, the H2 Inverse hypothesis comes out as statistically non significant, confirming that the oil producers</w:t>
      </w:r>
      <w:r w:rsidR="00AF71F7"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 xml:space="preserve"> tensions and news are exogenous to forecasters</w:t>
      </w:r>
      <w:r w:rsidR="007D2E18">
        <w:rPr>
          <w:rFonts w:ascii="Times New Roman" w:hAnsi="Times New Roman" w:cs="Times New Roman"/>
          <w:sz w:val="24"/>
          <w:szCs w:val="24"/>
          <w:lang w:val="en-GB"/>
        </w:rPr>
        <w:t>’</w:t>
      </w:r>
      <w:bookmarkStart w:id="3" w:name="_GoBack"/>
      <w:bookmarkEnd w:id="3"/>
      <w:r w:rsidRPr="007D2E18">
        <w:rPr>
          <w:rFonts w:ascii="Times New Roman" w:hAnsi="Times New Roman" w:cs="Times New Roman"/>
          <w:sz w:val="24"/>
          <w:szCs w:val="24"/>
          <w:lang w:val="en-GB"/>
        </w:rPr>
        <w:t xml:space="preserve"> information set and our measure is actually capturing unexpected events.</w:t>
      </w:r>
    </w:p>
    <w:p w14:paraId="0A56B811" w14:textId="77777777" w:rsidR="0085000C" w:rsidRPr="007D2E18" w:rsidRDefault="0085000C" w:rsidP="00A456AE">
      <w:pPr>
        <w:spacing w:after="0" w:line="240" w:lineRule="auto"/>
        <w:jc w:val="both"/>
        <w:rPr>
          <w:rFonts w:ascii="Times New Roman" w:hAnsi="Times New Roman" w:cs="Times New Roman"/>
          <w:sz w:val="24"/>
          <w:szCs w:val="24"/>
          <w:lang w:val="en-GB"/>
        </w:rPr>
      </w:pPr>
    </w:p>
    <w:p w14:paraId="0060F85C" w14:textId="2DB52979" w:rsidR="0085000C" w:rsidRPr="007D2E18" w:rsidRDefault="0085000C" w:rsidP="00394FA1">
      <w:pPr>
        <w:spacing w:after="0" w:line="240" w:lineRule="auto"/>
        <w:jc w:val="center"/>
        <w:rPr>
          <w:rFonts w:ascii="Times New Roman" w:hAnsi="Times New Roman" w:cs="Times New Roman"/>
          <w:lang w:val="en-GB"/>
        </w:rPr>
      </w:pPr>
      <w:r w:rsidRPr="007D2E18">
        <w:rPr>
          <w:rFonts w:ascii="Times New Roman" w:hAnsi="Times New Roman" w:cs="Times New Roman"/>
          <w:lang w:val="en-GB"/>
        </w:rPr>
        <w:t>Table 3. Granger causality testing results: all events (*)</w:t>
      </w:r>
    </w:p>
    <w:p w14:paraId="62C4D170" w14:textId="77777777" w:rsidR="00AB1A63" w:rsidRPr="007D2E18" w:rsidRDefault="00AB1A63" w:rsidP="00AB1A63">
      <w:pPr>
        <w:spacing w:after="0" w:line="240" w:lineRule="auto"/>
        <w:jc w:val="both"/>
        <w:rPr>
          <w:rFonts w:ascii="Times New Roman" w:hAnsi="Times New Roman" w:cs="Times New Roman"/>
          <w:lang w:val="en-GB"/>
        </w:rPr>
      </w:pPr>
      <w:r w:rsidRPr="007D2E18">
        <w:rPr>
          <w:rFonts w:ascii="Times New Roman" w:hAnsi="Times New Roman" w:cs="Times New Roman"/>
          <w:lang w:val="en-GB"/>
        </w:rPr>
        <w:t>(*) Fixed lags of the dependent variable (</w:t>
      </w:r>
      <m:oMath>
        <m:sSub>
          <m:sSubPr>
            <m:ctrlPr>
              <w:rPr>
                <w:rFonts w:ascii="Cambria Math" w:hAnsi="Cambria Math" w:cs="Times New Roman"/>
                <w:i/>
                <w:lang w:val="en-GB"/>
              </w:rPr>
            </m:ctrlPr>
          </m:sSubPr>
          <m:e>
            <m:r>
              <w:rPr>
                <w:rFonts w:ascii="Cambria Math" w:hAnsi="Cambria Math" w:cs="Times New Roman"/>
                <w:lang w:val="en-GB"/>
              </w:rPr>
              <m:t>p</m:t>
            </m:r>
          </m:e>
          <m:sub>
            <m:r>
              <w:rPr>
                <w:rFonts w:ascii="Cambria Math" w:hAnsi="Cambria Math" w:cs="Times New Roman"/>
                <w:lang w:val="en-GB"/>
              </w:rPr>
              <m:t>y</m:t>
            </m:r>
          </m:sub>
        </m:sSub>
      </m:oMath>
      <w:r w:rsidRPr="007D2E18">
        <w:rPr>
          <w:rFonts w:ascii="Times New Roman" w:hAnsi="Times New Roman" w:cs="Times New Roman"/>
          <w:lang w:val="en-GB"/>
        </w:rPr>
        <w:t xml:space="preserve">) in the baseline (inverse) regression: 6 (1). “F-stat.” corresponds to the core statistic of the F-test based on ordinary least square estimates with </w:t>
      </w:r>
      <m:oMath>
        <m:sSub>
          <m:sSubPr>
            <m:ctrlPr>
              <w:rPr>
                <w:rFonts w:ascii="Cambria Math" w:hAnsi="Cambria Math" w:cs="Times New Roman"/>
                <w:i/>
                <w:lang w:val="en-GB"/>
              </w:rPr>
            </m:ctrlPr>
          </m:sSubPr>
          <m:e>
            <m:r>
              <w:rPr>
                <w:rFonts w:ascii="Cambria Math" w:hAnsi="Cambria Math" w:cs="Times New Roman"/>
                <w:lang w:val="en-GB"/>
              </w:rPr>
              <m:t>p</m:t>
            </m:r>
          </m:e>
          <m:sub>
            <m:r>
              <w:rPr>
                <w:rFonts w:ascii="Cambria Math" w:hAnsi="Cambria Math" w:cs="Times New Roman"/>
                <w:lang w:val="en-GB"/>
              </w:rPr>
              <m:t>x</m:t>
            </m:r>
          </m:sub>
        </m:sSub>
      </m:oMath>
      <w:r w:rsidRPr="007D2E18">
        <w:rPr>
          <w:rFonts w:ascii="Times New Roman" w:hAnsi="Times New Roman" w:cs="Times New Roman"/>
          <w:lang w:val="en-GB"/>
        </w:rPr>
        <w:t xml:space="preserve"> lags, using the Newey-West estimator with 12-order bandwidth. “</w:t>
      </w:r>
      <m:oMath>
        <m:r>
          <w:rPr>
            <w:rFonts w:ascii="Cambria Math" w:hAnsi="Cambria Math" w:cs="Times New Roman"/>
            <w:lang w:val="en-GB"/>
          </w:rPr>
          <m:t>p</m:t>
        </m:r>
      </m:oMath>
      <w:r w:rsidRPr="007D2E18">
        <w:rPr>
          <w:rFonts w:ascii="Times New Roman" w:hAnsi="Times New Roman" w:cs="Times New Roman"/>
          <w:lang w:val="en-GB"/>
        </w:rPr>
        <w:t xml:space="preserve">-value” corresponds to the </w:t>
      </w:r>
      <m:oMath>
        <m:r>
          <w:rPr>
            <w:rFonts w:ascii="Cambria Math" w:hAnsi="Cambria Math" w:cs="Times New Roman"/>
            <w:lang w:val="en-GB"/>
          </w:rPr>
          <m:t>p</m:t>
        </m:r>
      </m:oMath>
      <w:r w:rsidRPr="007D2E18">
        <w:rPr>
          <w:rFonts w:ascii="Times New Roman" w:hAnsi="Times New Roman" w:cs="Times New Roman"/>
          <w:lang w:val="en-GB"/>
        </w:rPr>
        <w:t xml:space="preserve">-value of the null hypothesis that </w:t>
      </w:r>
      <m:oMath>
        <m:sSub>
          <m:sSubPr>
            <m:ctrlPr>
              <w:rPr>
                <w:rFonts w:ascii="Cambria Math" w:hAnsi="Cambria Math" w:cs="Times New Roman"/>
                <w:i/>
                <w:lang w:val="en-GB"/>
              </w:rPr>
            </m:ctrlPr>
          </m:sSubPr>
          <m:e>
            <m:r>
              <w:rPr>
                <w:rFonts w:ascii="Cambria Math" w:hAnsi="Cambria Math" w:cs="Times New Roman"/>
                <w:lang w:val="en-GB"/>
              </w:rPr>
              <m:t>x</m:t>
            </m:r>
          </m:e>
          <m:sub>
            <m:r>
              <w:rPr>
                <w:rFonts w:ascii="Cambria Math" w:hAnsi="Cambria Math" w:cs="Times New Roman"/>
                <w:lang w:val="en-GB"/>
              </w:rPr>
              <m:t>t</m:t>
            </m:r>
          </m:sub>
        </m:sSub>
      </m:oMath>
      <w:r w:rsidRPr="007D2E18">
        <w:rPr>
          <w:rFonts w:ascii="Times New Roman" w:hAnsi="Times New Roman" w:cs="Times New Roman"/>
          <w:lang w:val="en-GB"/>
        </w:rPr>
        <w:t xml:space="preserve"> do not Granger cause </w:t>
      </w:r>
      <m:oMath>
        <m:sSub>
          <m:sSubPr>
            <m:ctrlPr>
              <w:rPr>
                <w:rFonts w:ascii="Cambria Math" w:hAnsi="Cambria Math" w:cs="Times New Roman"/>
                <w:i/>
                <w:lang w:val="en-GB"/>
              </w:rPr>
            </m:ctrlPr>
          </m:sSubPr>
          <m:e>
            <m:r>
              <w:rPr>
                <w:rFonts w:ascii="Cambria Math" w:hAnsi="Cambria Math" w:cs="Times New Roman"/>
                <w:lang w:val="en-GB"/>
              </w:rPr>
              <m:t>y</m:t>
            </m:r>
          </m:e>
          <m:sub>
            <m:r>
              <w:rPr>
                <w:rFonts w:ascii="Cambria Math" w:hAnsi="Cambria Math" w:cs="Times New Roman"/>
                <w:lang w:val="en-GB"/>
              </w:rPr>
              <m:t>t</m:t>
            </m:r>
          </m:sub>
        </m:sSub>
      </m:oMath>
      <w:r w:rsidRPr="007D2E18">
        <w:rPr>
          <w:rFonts w:ascii="Times New Roman" w:hAnsi="Times New Roman" w:cs="Times New Roman"/>
          <w:lang w:val="en-GB"/>
        </w:rPr>
        <w:t xml:space="preserve">. “R-sq. adj.” denotes the adjusted goodness-of-fit coefficient of the regression. “Infrc.” synthetizes Granger’s causality statistical inference. “BG” stands for the </w:t>
      </w:r>
      <m:oMath>
        <m:r>
          <w:rPr>
            <w:rFonts w:ascii="Cambria Math" w:hAnsi="Cambria Math" w:cs="Times New Roman"/>
            <w:lang w:val="en-GB"/>
          </w:rPr>
          <m:t>p</m:t>
        </m:r>
      </m:oMath>
      <w:r w:rsidRPr="007D2E18">
        <w:rPr>
          <w:rFonts w:ascii="Times New Roman" w:hAnsi="Times New Roman" w:cs="Times New Roman"/>
          <w:lang w:val="en-GB"/>
        </w:rPr>
        <w:t xml:space="preserve">-value of the Breusch-Godfrey test, whose null hypothesis is no serial correlation up to the sixth lag. Sample: 2001.1-2012.3. </w:t>
      </w:r>
      <m:oMath>
        <m:r>
          <w:rPr>
            <w:rFonts w:ascii="Cambria Math" w:hAnsi="Cambria Math" w:cs="Times New Roman"/>
            <w:lang w:val="en-GB"/>
          </w:rPr>
          <m:t>p</m:t>
        </m:r>
      </m:oMath>
      <w:r w:rsidRPr="007D2E18">
        <w:rPr>
          <w:rFonts w:ascii="Times New Roman" w:hAnsi="Times New Roman" w:cs="Times New Roman"/>
          <w:lang w:val="en-GB"/>
        </w:rPr>
        <w:t>-value: bold&lt;15%; italics&gt;15%. Source: Authors’ calculations.</w:t>
      </w:r>
    </w:p>
    <w:p w14:paraId="52BE9D96" w14:textId="77777777" w:rsidR="00394FA1" w:rsidRPr="007D2E18" w:rsidRDefault="00394FA1" w:rsidP="00A456AE">
      <w:pPr>
        <w:spacing w:after="0" w:line="240" w:lineRule="auto"/>
        <w:jc w:val="both"/>
        <w:rPr>
          <w:rFonts w:ascii="Times New Roman" w:hAnsi="Times New Roman" w:cs="Times New Roman"/>
          <w:sz w:val="24"/>
          <w:szCs w:val="24"/>
          <w:lang w:val="en-GB"/>
        </w:rPr>
      </w:pPr>
    </w:p>
    <w:p w14:paraId="27AAB332" w14:textId="77777777" w:rsidR="00394FA1"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The third panel shows that for lags one and four evidence is found favouring geopolitical tensions and news affecting forecast dispersion. This implies that the way in which forecasters treat the information contained in the </w:t>
      </w:r>
      <w:r w:rsidRPr="007D2E18">
        <w:rPr>
          <w:rFonts w:ascii="Times New Roman" w:hAnsi="Times New Roman" w:cs="Times New Roman"/>
          <w:i/>
          <w:iCs/>
          <w:sz w:val="24"/>
          <w:szCs w:val="24"/>
          <w:lang w:val="en-GB"/>
        </w:rPr>
        <w:t>GT&amp;N</w:t>
      </w:r>
      <w:r w:rsidRPr="007D2E18">
        <w:rPr>
          <w:rFonts w:ascii="Times New Roman" w:hAnsi="Times New Roman" w:cs="Times New Roman"/>
          <w:sz w:val="24"/>
          <w:szCs w:val="24"/>
          <w:lang w:val="en-GB"/>
        </w:rPr>
        <w:t xml:space="preserve"> variable </w:t>
      </w:r>
      <w:r w:rsidRPr="007D2E18">
        <w:rPr>
          <w:rFonts w:ascii="Times New Roman" w:hAnsi="Times New Roman" w:cs="Times New Roman"/>
        </w:rPr>
        <w:t>differs</w:t>
      </w:r>
      <w:r w:rsidRPr="007D2E18">
        <w:rPr>
          <w:rFonts w:ascii="Times New Roman" w:hAnsi="Times New Roman" w:cs="Times New Roman"/>
          <w:sz w:val="24"/>
          <w:szCs w:val="24"/>
          <w:lang w:val="en-GB"/>
        </w:rPr>
        <w:t xml:space="preserve">, resulting in different implications to the oil price. Same as above, no serial correlation is found with the Breusch-Godfrey test. Regarding the H3 Inverse hypothesis, two cases of statistical significance are found, with three and six lags, and residuals tests do not reject no-autocorrelation. This result implies a feedback relationship between the variables. However, this is </w:t>
      </w:r>
      <w:r w:rsidRPr="007D2E18">
        <w:rPr>
          <w:rFonts w:ascii="Times New Roman" w:hAnsi="Times New Roman" w:cs="Times New Roman"/>
          <w:i/>
          <w:iCs/>
          <w:sz w:val="24"/>
          <w:szCs w:val="24"/>
          <w:lang w:val="en-GB"/>
        </w:rPr>
        <w:t>a priori</w:t>
      </w:r>
      <w:r w:rsidRPr="007D2E18">
        <w:rPr>
          <w:rFonts w:ascii="Times New Roman" w:hAnsi="Times New Roman" w:cs="Times New Roman"/>
          <w:sz w:val="24"/>
          <w:szCs w:val="24"/>
          <w:lang w:val="en-GB"/>
        </w:rPr>
        <w:t xml:space="preserve"> likely the case when considering that </w:t>
      </w:r>
      <w:r w:rsidRPr="007D2E18">
        <w:rPr>
          <w:rFonts w:ascii="Times New Roman" w:hAnsi="Times New Roman" w:cs="Times New Roman"/>
          <w:i/>
          <w:iCs/>
          <w:sz w:val="24"/>
          <w:szCs w:val="24"/>
          <w:lang w:val="en-GB"/>
        </w:rPr>
        <w:t>GT&amp;N</w:t>
      </w:r>
      <w:r w:rsidRPr="007D2E18">
        <w:rPr>
          <w:rFonts w:ascii="Times New Roman" w:hAnsi="Times New Roman" w:cs="Times New Roman"/>
          <w:sz w:val="24"/>
          <w:szCs w:val="24"/>
          <w:lang w:val="en-GB"/>
        </w:rPr>
        <w:t xml:space="preserve"> cause disagreement; thus, lagged disagreement operates over the inertial component of </w:t>
      </w:r>
      <w:r w:rsidRPr="007D2E18">
        <w:rPr>
          <w:rFonts w:ascii="Times New Roman" w:hAnsi="Times New Roman" w:cs="Times New Roman"/>
          <w:i/>
          <w:iCs/>
          <w:sz w:val="24"/>
          <w:szCs w:val="24"/>
          <w:lang w:val="en-GB"/>
        </w:rPr>
        <w:t>GT&amp;N</w:t>
      </w:r>
      <w:r w:rsidRPr="007D2E18">
        <w:rPr>
          <w:rFonts w:ascii="Times New Roman" w:hAnsi="Times New Roman" w:cs="Times New Roman"/>
          <w:sz w:val="24"/>
          <w:szCs w:val="24"/>
          <w:lang w:val="en-GB"/>
        </w:rPr>
        <w:t>.</w:t>
      </w:r>
    </w:p>
    <w:p w14:paraId="2C4A3695" w14:textId="77777777" w:rsidR="00394FA1" w:rsidRPr="007D2E18" w:rsidRDefault="00394FA1" w:rsidP="00A456AE">
      <w:pPr>
        <w:spacing w:after="0" w:line="240" w:lineRule="auto"/>
        <w:jc w:val="both"/>
        <w:rPr>
          <w:rFonts w:ascii="Times New Roman" w:hAnsi="Times New Roman" w:cs="Times New Roman"/>
          <w:sz w:val="24"/>
          <w:szCs w:val="24"/>
          <w:lang w:val="en-GB"/>
        </w:rPr>
      </w:pPr>
    </w:p>
    <w:p w14:paraId="7C7B2DEF" w14:textId="77777777" w:rsidR="00394FA1"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In sum, Table 3 provide the statistical evidence in the direction proposed in subsection 3.3. The same kind of results is, thus, obtained by distinguishing between OPEC and non-OPEC geopolitical tensions and news.</w:t>
      </w:r>
    </w:p>
    <w:p w14:paraId="7AAB011E" w14:textId="77777777" w:rsidR="00394FA1" w:rsidRPr="007D2E18" w:rsidRDefault="00394FA1" w:rsidP="00A456AE">
      <w:pPr>
        <w:spacing w:after="0" w:line="240" w:lineRule="auto"/>
        <w:jc w:val="both"/>
        <w:rPr>
          <w:rFonts w:ascii="Times New Roman" w:hAnsi="Times New Roman" w:cs="Times New Roman"/>
          <w:sz w:val="24"/>
          <w:szCs w:val="24"/>
          <w:lang w:val="en-GB"/>
        </w:rPr>
      </w:pPr>
    </w:p>
    <w:p w14:paraId="34471783" w14:textId="18685996" w:rsidR="00394FA1"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The results using the purely OPEC measure of geopolitical tensions and news are presented in Table 4. The first panel shows that purely OPEC-based does not Granger cause current oil price, a result supported by the Breusch-Godfrey test. In turn, when analysing the H1 Inverse hypothesis, we find that oil price cause OPEC</w:t>
      </w:r>
      <w:r w:rsidR="00394FA1"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s geopolitical tensions and news, particularly between the second and fourth months. This imply that OPEC is actually sensitive to movements in oil prices and the causality goes in this direction only. As our geopolitical tensions and news measure include quotas reassignments as well as major maintenances, OPEC could react to oil prices with a lag but not necessarily neither affecting nor determining future oil price dynamics.</w:t>
      </w:r>
    </w:p>
    <w:p w14:paraId="77AA9AA2" w14:textId="77777777" w:rsidR="00394FA1" w:rsidRPr="007D2E18" w:rsidRDefault="00394FA1" w:rsidP="00A456AE">
      <w:pPr>
        <w:spacing w:after="0" w:line="240" w:lineRule="auto"/>
        <w:jc w:val="both"/>
        <w:rPr>
          <w:rFonts w:ascii="Times New Roman" w:hAnsi="Times New Roman" w:cs="Times New Roman"/>
          <w:sz w:val="24"/>
          <w:szCs w:val="24"/>
          <w:lang w:val="en-GB"/>
        </w:rPr>
      </w:pPr>
    </w:p>
    <w:p w14:paraId="2769BC54" w14:textId="63FA5143" w:rsidR="0085000C"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lastRenderedPageBreak/>
        <w:t xml:space="preserve">Similar to the case when considering all geopolitical events, the second panel of Table 4 provides evidence supporting the hypothesis of </w:t>
      </w:r>
      <w:r w:rsidRPr="007D2E18">
        <w:rPr>
          <w:rFonts w:ascii="Times New Roman" w:hAnsi="Times New Roman" w:cs="Times New Roman"/>
          <w:i/>
          <w:iCs/>
          <w:sz w:val="24"/>
          <w:szCs w:val="24"/>
          <w:lang w:val="en-GB"/>
        </w:rPr>
        <w:t>GT&amp;N-O</w:t>
      </w:r>
      <w:r w:rsidRPr="007D2E18">
        <w:rPr>
          <w:rFonts w:ascii="Times New Roman" w:hAnsi="Times New Roman" w:cs="Times New Roman"/>
          <w:sz w:val="24"/>
          <w:szCs w:val="24"/>
          <w:lang w:val="en-GB"/>
        </w:rPr>
        <w:t xml:space="preserve"> causing oil price forecasts (for the fifth and sixth lags), supported with the results of the Breusch-Godfrey test. Also, the causality goes in this direction only, and not oil price forecasts causing OPEC</w:t>
      </w:r>
      <w:r w:rsidR="00394FA1"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s news. This result is not necessarily surprising given the relevance of OPEC for the oil market, and thus, analysts consider its news when making its forecasts.</w:t>
      </w:r>
    </w:p>
    <w:p w14:paraId="184D7873" w14:textId="77777777" w:rsidR="00394FA1" w:rsidRPr="007D2E18" w:rsidRDefault="00394FA1" w:rsidP="00A456AE">
      <w:pPr>
        <w:spacing w:after="0" w:line="240" w:lineRule="auto"/>
        <w:jc w:val="both"/>
        <w:rPr>
          <w:rFonts w:ascii="Times New Roman" w:hAnsi="Times New Roman" w:cs="Times New Roman"/>
          <w:sz w:val="24"/>
          <w:szCs w:val="24"/>
          <w:lang w:val="en-GB"/>
        </w:rPr>
      </w:pPr>
    </w:p>
    <w:p w14:paraId="15A05278" w14:textId="36B8C4D1" w:rsidR="0085000C" w:rsidRPr="007D2E18" w:rsidRDefault="0085000C" w:rsidP="00394FA1">
      <w:pPr>
        <w:spacing w:after="0" w:line="240" w:lineRule="auto"/>
        <w:jc w:val="center"/>
        <w:rPr>
          <w:rFonts w:ascii="Times New Roman" w:hAnsi="Times New Roman" w:cs="Times New Roman"/>
          <w:lang w:val="en-GB"/>
        </w:rPr>
      </w:pPr>
      <w:r w:rsidRPr="007D2E18">
        <w:rPr>
          <w:rFonts w:ascii="Times New Roman" w:hAnsi="Times New Roman" w:cs="Times New Roman"/>
          <w:lang w:val="en-GB"/>
        </w:rPr>
        <w:t>Table 4. Granger causality testing results: OPEC events (*)</w:t>
      </w:r>
    </w:p>
    <w:p w14:paraId="2FCB8905" w14:textId="77777777" w:rsidR="00394FA1" w:rsidRPr="007D2E18" w:rsidRDefault="00394FA1" w:rsidP="00394FA1">
      <w:pPr>
        <w:spacing w:after="0" w:line="240" w:lineRule="auto"/>
        <w:jc w:val="both"/>
        <w:rPr>
          <w:rFonts w:ascii="Times New Roman" w:hAnsi="Times New Roman" w:cs="Times New Roman"/>
          <w:lang w:val="en-GB"/>
        </w:rPr>
      </w:pPr>
      <w:r w:rsidRPr="007D2E18">
        <w:rPr>
          <w:rFonts w:ascii="Times New Roman" w:hAnsi="Times New Roman" w:cs="Times New Roman"/>
          <w:lang w:val="en-GB"/>
        </w:rPr>
        <w:t>(*) Fixed lags of the dependent variable (</w:t>
      </w:r>
      <m:oMath>
        <m:sSub>
          <m:sSubPr>
            <m:ctrlPr>
              <w:rPr>
                <w:rFonts w:ascii="Cambria Math" w:hAnsi="Cambria Math" w:cs="Times New Roman"/>
                <w:i/>
                <w:lang w:val="en-GB"/>
              </w:rPr>
            </m:ctrlPr>
          </m:sSubPr>
          <m:e>
            <m:r>
              <w:rPr>
                <w:rFonts w:ascii="Cambria Math" w:hAnsi="Cambria Math" w:cs="Times New Roman"/>
                <w:lang w:val="en-GB"/>
              </w:rPr>
              <m:t>p</m:t>
            </m:r>
          </m:e>
          <m:sub>
            <m:r>
              <w:rPr>
                <w:rFonts w:ascii="Cambria Math" w:hAnsi="Cambria Math" w:cs="Times New Roman"/>
                <w:lang w:val="en-GB"/>
              </w:rPr>
              <m:t>y</m:t>
            </m:r>
          </m:sub>
        </m:sSub>
      </m:oMath>
      <w:r w:rsidRPr="007D2E18">
        <w:rPr>
          <w:rFonts w:ascii="Times New Roman" w:hAnsi="Times New Roman" w:cs="Times New Roman"/>
          <w:lang w:val="en-GB"/>
        </w:rPr>
        <w:t xml:space="preserve">) in the baseline (inverse) regression: 6 (1). “F-stat.” corresponds to the core statistic of the F-test based on ordinary least square estimates with </w:t>
      </w:r>
      <m:oMath>
        <m:sSub>
          <m:sSubPr>
            <m:ctrlPr>
              <w:rPr>
                <w:rFonts w:ascii="Cambria Math" w:hAnsi="Cambria Math" w:cs="Times New Roman"/>
                <w:i/>
                <w:lang w:val="en-GB"/>
              </w:rPr>
            </m:ctrlPr>
          </m:sSubPr>
          <m:e>
            <m:r>
              <w:rPr>
                <w:rFonts w:ascii="Cambria Math" w:hAnsi="Cambria Math" w:cs="Times New Roman"/>
                <w:lang w:val="en-GB"/>
              </w:rPr>
              <m:t>p</m:t>
            </m:r>
          </m:e>
          <m:sub>
            <m:r>
              <w:rPr>
                <w:rFonts w:ascii="Cambria Math" w:hAnsi="Cambria Math" w:cs="Times New Roman"/>
                <w:lang w:val="en-GB"/>
              </w:rPr>
              <m:t>x</m:t>
            </m:r>
          </m:sub>
        </m:sSub>
      </m:oMath>
      <w:r w:rsidRPr="007D2E18">
        <w:rPr>
          <w:rFonts w:ascii="Times New Roman" w:hAnsi="Times New Roman" w:cs="Times New Roman"/>
          <w:lang w:val="en-GB"/>
        </w:rPr>
        <w:t xml:space="preserve"> lags, using the Newey-West estimator with 12-order bandwidth. “</w:t>
      </w:r>
      <m:oMath>
        <m:r>
          <w:rPr>
            <w:rFonts w:ascii="Cambria Math" w:hAnsi="Cambria Math" w:cs="Times New Roman"/>
            <w:lang w:val="en-GB"/>
          </w:rPr>
          <m:t>p</m:t>
        </m:r>
      </m:oMath>
      <w:r w:rsidRPr="007D2E18">
        <w:rPr>
          <w:rFonts w:ascii="Times New Roman" w:hAnsi="Times New Roman" w:cs="Times New Roman"/>
          <w:lang w:val="en-GB"/>
        </w:rPr>
        <w:t xml:space="preserve">-value” corresponds to the </w:t>
      </w:r>
      <m:oMath>
        <m:r>
          <w:rPr>
            <w:rFonts w:ascii="Cambria Math" w:hAnsi="Cambria Math" w:cs="Times New Roman"/>
            <w:lang w:val="en-GB"/>
          </w:rPr>
          <m:t>p</m:t>
        </m:r>
      </m:oMath>
      <w:r w:rsidRPr="007D2E18">
        <w:rPr>
          <w:rFonts w:ascii="Times New Roman" w:hAnsi="Times New Roman" w:cs="Times New Roman"/>
          <w:lang w:val="en-GB"/>
        </w:rPr>
        <w:t xml:space="preserve">-value of the null hypothesis that </w:t>
      </w:r>
      <m:oMath>
        <m:sSub>
          <m:sSubPr>
            <m:ctrlPr>
              <w:rPr>
                <w:rFonts w:ascii="Cambria Math" w:hAnsi="Cambria Math" w:cs="Times New Roman"/>
                <w:i/>
                <w:lang w:val="en-GB"/>
              </w:rPr>
            </m:ctrlPr>
          </m:sSubPr>
          <m:e>
            <m:r>
              <w:rPr>
                <w:rFonts w:ascii="Cambria Math" w:hAnsi="Cambria Math" w:cs="Times New Roman"/>
                <w:lang w:val="en-GB"/>
              </w:rPr>
              <m:t>x</m:t>
            </m:r>
          </m:e>
          <m:sub>
            <m:r>
              <w:rPr>
                <w:rFonts w:ascii="Cambria Math" w:hAnsi="Cambria Math" w:cs="Times New Roman"/>
                <w:lang w:val="en-GB"/>
              </w:rPr>
              <m:t>t</m:t>
            </m:r>
          </m:sub>
        </m:sSub>
      </m:oMath>
      <w:r w:rsidRPr="007D2E18">
        <w:rPr>
          <w:rFonts w:ascii="Times New Roman" w:hAnsi="Times New Roman" w:cs="Times New Roman"/>
          <w:lang w:val="en-GB"/>
        </w:rPr>
        <w:t xml:space="preserve"> do not Granger cause </w:t>
      </w:r>
      <m:oMath>
        <m:sSub>
          <m:sSubPr>
            <m:ctrlPr>
              <w:rPr>
                <w:rFonts w:ascii="Cambria Math" w:hAnsi="Cambria Math" w:cs="Times New Roman"/>
                <w:i/>
                <w:lang w:val="en-GB"/>
              </w:rPr>
            </m:ctrlPr>
          </m:sSubPr>
          <m:e>
            <m:r>
              <w:rPr>
                <w:rFonts w:ascii="Cambria Math" w:hAnsi="Cambria Math" w:cs="Times New Roman"/>
                <w:lang w:val="en-GB"/>
              </w:rPr>
              <m:t>y</m:t>
            </m:r>
          </m:e>
          <m:sub>
            <m:r>
              <w:rPr>
                <w:rFonts w:ascii="Cambria Math" w:hAnsi="Cambria Math" w:cs="Times New Roman"/>
                <w:lang w:val="en-GB"/>
              </w:rPr>
              <m:t>t</m:t>
            </m:r>
          </m:sub>
        </m:sSub>
      </m:oMath>
      <w:r w:rsidRPr="007D2E18">
        <w:rPr>
          <w:rFonts w:ascii="Times New Roman" w:hAnsi="Times New Roman" w:cs="Times New Roman"/>
          <w:lang w:val="en-GB"/>
        </w:rPr>
        <w:t xml:space="preserve">. “R-sq. adj.” denotes the adjusted goodness-of-fit coefficient of the regression. “Infrc.” synthetizes Granger’s causality statistical inference. “BG” stands for the </w:t>
      </w:r>
      <m:oMath>
        <m:r>
          <w:rPr>
            <w:rFonts w:ascii="Cambria Math" w:hAnsi="Cambria Math" w:cs="Times New Roman"/>
            <w:lang w:val="en-GB"/>
          </w:rPr>
          <m:t>p</m:t>
        </m:r>
      </m:oMath>
      <w:r w:rsidRPr="007D2E18">
        <w:rPr>
          <w:rFonts w:ascii="Times New Roman" w:hAnsi="Times New Roman" w:cs="Times New Roman"/>
          <w:lang w:val="en-GB"/>
        </w:rPr>
        <w:t xml:space="preserve">-value of the Breusch-Godfrey test, whose null hypothesis is no serial correlation up to the sixth lag. Sample: 2001.1-2012.3. </w:t>
      </w:r>
      <m:oMath>
        <m:r>
          <w:rPr>
            <w:rFonts w:ascii="Cambria Math" w:hAnsi="Cambria Math" w:cs="Times New Roman"/>
            <w:lang w:val="en-GB"/>
          </w:rPr>
          <m:t>p</m:t>
        </m:r>
      </m:oMath>
      <w:r w:rsidRPr="007D2E18">
        <w:rPr>
          <w:rFonts w:ascii="Times New Roman" w:hAnsi="Times New Roman" w:cs="Times New Roman"/>
          <w:lang w:val="en-GB"/>
        </w:rPr>
        <w:t>-value: bold&lt;15%; italics&gt;15%. Source: Authors’ calculations.</w:t>
      </w:r>
    </w:p>
    <w:p w14:paraId="0F10024D" w14:textId="77777777" w:rsidR="00394FA1" w:rsidRPr="007D2E18" w:rsidRDefault="00394FA1" w:rsidP="00A456AE">
      <w:pPr>
        <w:spacing w:after="0" w:line="240" w:lineRule="auto"/>
        <w:jc w:val="both"/>
        <w:rPr>
          <w:rFonts w:ascii="Times New Roman" w:hAnsi="Times New Roman" w:cs="Times New Roman"/>
          <w:sz w:val="24"/>
          <w:szCs w:val="24"/>
          <w:lang w:val="en-GB"/>
        </w:rPr>
      </w:pPr>
    </w:p>
    <w:p w14:paraId="0E4CFF0C" w14:textId="77777777" w:rsidR="00394FA1"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The third panel of Table 4, in turn, shows a feedback relationship between OPEC news and oil price forecasts</w:t>
      </w:r>
      <w:r w:rsidR="00394FA1"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 xml:space="preserve"> dispersion. This means that OPEC news cause forecasters</w:t>
      </w:r>
      <w:r w:rsidR="00394FA1"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 xml:space="preserve"> dispersion and, at the same time, uncertainty in future oil prices leads to news in OPEC countries</w:t>
      </w:r>
      <w:r w:rsidR="00394FA1"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similarly</w:t>
      </w:r>
      <w:r w:rsidR="00394FA1" w:rsidRPr="007D2E18">
        <w:rPr>
          <w:rFonts w:ascii="Times New Roman" w:hAnsi="Times New Roman" w:cs="Times New Roman"/>
          <w:sz w:val="24"/>
          <w:szCs w:val="24"/>
          <w:lang w:val="en-GB"/>
        </w:rPr>
        <w:t xml:space="preserve"> </w:t>
      </w:r>
      <w:r w:rsidRPr="007D2E18">
        <w:rPr>
          <w:rFonts w:ascii="Times New Roman" w:hAnsi="Times New Roman" w:cs="Times New Roman"/>
          <w:sz w:val="24"/>
          <w:szCs w:val="24"/>
          <w:lang w:val="en-GB"/>
        </w:rPr>
        <w:t>to future oil prices. These results also support the claim that OPEC reacts to the uncertainty about oil price forecasts, but not necessarily affecting its realised level.</w:t>
      </w:r>
    </w:p>
    <w:p w14:paraId="6D243954" w14:textId="77777777" w:rsidR="00394FA1" w:rsidRPr="007D2E18" w:rsidRDefault="00394FA1" w:rsidP="00A456AE">
      <w:pPr>
        <w:spacing w:after="0" w:line="240" w:lineRule="auto"/>
        <w:jc w:val="both"/>
        <w:rPr>
          <w:rFonts w:ascii="Times New Roman" w:hAnsi="Times New Roman" w:cs="Times New Roman"/>
          <w:sz w:val="24"/>
          <w:szCs w:val="24"/>
          <w:lang w:val="en-GB"/>
        </w:rPr>
      </w:pPr>
    </w:p>
    <w:p w14:paraId="334DC2E5" w14:textId="0BC5C0C2" w:rsidR="00394FA1"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In sum, Table 4 provides evidence supporting OPEC playing a role in oil price expectations formation</w:t>
      </w:r>
      <w:r w:rsidR="00394FA1"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s both level and dispersion, but not ultimately determining the current spot oil price. Moreover, OPEC seems to react to actual oil prices as well as in volatility episodes represented by a major disagreement in oil price forecasts.</w:t>
      </w:r>
    </w:p>
    <w:p w14:paraId="68028AC9" w14:textId="77777777" w:rsidR="00394FA1" w:rsidRPr="007D2E18" w:rsidRDefault="00394FA1" w:rsidP="00A456AE">
      <w:pPr>
        <w:spacing w:after="0" w:line="240" w:lineRule="auto"/>
        <w:jc w:val="both"/>
        <w:rPr>
          <w:rFonts w:ascii="Times New Roman" w:hAnsi="Times New Roman" w:cs="Times New Roman"/>
          <w:sz w:val="24"/>
          <w:szCs w:val="24"/>
          <w:lang w:val="en-GB"/>
        </w:rPr>
      </w:pPr>
    </w:p>
    <w:p w14:paraId="78E555B9" w14:textId="493A98BE" w:rsidR="0085000C"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The results using the non-OPEC measure of geopolitical tensions and news are presented in Table 5. Overall, the results are qualitatively similar to the case that considers all geopolitical tensions and news (Table 3). The first panel of Table 5 virtually mimics the corresponding one in Table 3. This means that for H1 it is shown that from the third lag up to sixth, </w:t>
      </w:r>
      <w:r w:rsidRPr="007D2E18">
        <w:rPr>
          <w:rFonts w:ascii="Times New Roman" w:hAnsi="Times New Roman" w:cs="Times New Roman"/>
          <w:i/>
          <w:iCs/>
          <w:sz w:val="24"/>
          <w:szCs w:val="24"/>
          <w:lang w:val="en-GB"/>
        </w:rPr>
        <w:t>GT&amp;N-NO</w:t>
      </w:r>
      <w:r w:rsidRPr="007D2E18">
        <w:rPr>
          <w:rFonts w:ascii="Times New Roman" w:hAnsi="Times New Roman" w:cs="Times New Roman"/>
          <w:sz w:val="24"/>
          <w:szCs w:val="24"/>
          <w:lang w:val="en-GB"/>
        </w:rPr>
        <w:t xml:space="preserve"> cause oil price at 5% significance level, implying that non-OPEC geopolitical tensions and news take the same three months to affect Brent oil prices. The results are supported by the Breusch-Godfrey test and statistically non-significant results when testing the causality in the opposite direction. This finding also reinforces the hypothesis that OPEC by itself does not directly affect the oil price, but rather its forecasts level and dispersion.</w:t>
      </w:r>
    </w:p>
    <w:p w14:paraId="2AA267AD" w14:textId="77777777" w:rsidR="00394FA1" w:rsidRPr="007D2E18" w:rsidRDefault="00394FA1" w:rsidP="00A456AE">
      <w:pPr>
        <w:spacing w:after="0" w:line="240" w:lineRule="auto"/>
        <w:jc w:val="both"/>
        <w:rPr>
          <w:rFonts w:ascii="Times New Roman" w:hAnsi="Times New Roman" w:cs="Times New Roman"/>
          <w:sz w:val="24"/>
          <w:szCs w:val="24"/>
          <w:lang w:val="en-GB"/>
        </w:rPr>
      </w:pPr>
    </w:p>
    <w:p w14:paraId="6CEBA761" w14:textId="36CB56F9" w:rsidR="0085000C" w:rsidRPr="007D2E18" w:rsidRDefault="0085000C" w:rsidP="00394FA1">
      <w:pPr>
        <w:spacing w:after="0" w:line="240" w:lineRule="auto"/>
        <w:jc w:val="center"/>
        <w:rPr>
          <w:rFonts w:ascii="Times New Roman" w:hAnsi="Times New Roman" w:cs="Times New Roman"/>
          <w:lang w:val="en-GB"/>
        </w:rPr>
      </w:pPr>
      <w:r w:rsidRPr="007D2E18">
        <w:rPr>
          <w:rFonts w:ascii="Times New Roman" w:hAnsi="Times New Roman" w:cs="Times New Roman"/>
          <w:lang w:val="en-GB"/>
        </w:rPr>
        <w:t>Table 5. Granger causality testing results: non-OPEC events (*)</w:t>
      </w:r>
    </w:p>
    <w:p w14:paraId="33A3B07F" w14:textId="77777777" w:rsidR="00AB1A63" w:rsidRPr="007D2E18" w:rsidRDefault="00AB1A63" w:rsidP="00AB1A63">
      <w:pPr>
        <w:spacing w:after="0" w:line="240" w:lineRule="auto"/>
        <w:jc w:val="both"/>
        <w:rPr>
          <w:rFonts w:ascii="Times New Roman" w:hAnsi="Times New Roman" w:cs="Times New Roman"/>
          <w:lang w:val="en-GB"/>
        </w:rPr>
      </w:pPr>
      <w:r w:rsidRPr="007D2E18">
        <w:rPr>
          <w:rFonts w:ascii="Times New Roman" w:hAnsi="Times New Roman" w:cs="Times New Roman"/>
          <w:lang w:val="en-GB"/>
        </w:rPr>
        <w:t>(*) Fixed lags of the dependent variable (</w:t>
      </w:r>
      <m:oMath>
        <m:sSub>
          <m:sSubPr>
            <m:ctrlPr>
              <w:rPr>
                <w:rFonts w:ascii="Cambria Math" w:hAnsi="Cambria Math" w:cs="Times New Roman"/>
                <w:i/>
                <w:lang w:val="en-GB"/>
              </w:rPr>
            </m:ctrlPr>
          </m:sSubPr>
          <m:e>
            <m:r>
              <w:rPr>
                <w:rFonts w:ascii="Cambria Math" w:hAnsi="Cambria Math" w:cs="Times New Roman"/>
                <w:lang w:val="en-GB"/>
              </w:rPr>
              <m:t>p</m:t>
            </m:r>
          </m:e>
          <m:sub>
            <m:r>
              <w:rPr>
                <w:rFonts w:ascii="Cambria Math" w:hAnsi="Cambria Math" w:cs="Times New Roman"/>
                <w:lang w:val="en-GB"/>
              </w:rPr>
              <m:t>y</m:t>
            </m:r>
          </m:sub>
        </m:sSub>
      </m:oMath>
      <w:r w:rsidRPr="007D2E18">
        <w:rPr>
          <w:rFonts w:ascii="Times New Roman" w:hAnsi="Times New Roman" w:cs="Times New Roman"/>
          <w:lang w:val="en-GB"/>
        </w:rPr>
        <w:t xml:space="preserve">) in the baseline (inverse) regression: 6 (1). “F-stat.” corresponds to the core statistic of the F-test based on ordinary least square estimates with </w:t>
      </w:r>
      <m:oMath>
        <m:sSub>
          <m:sSubPr>
            <m:ctrlPr>
              <w:rPr>
                <w:rFonts w:ascii="Cambria Math" w:hAnsi="Cambria Math" w:cs="Times New Roman"/>
                <w:i/>
                <w:lang w:val="en-GB"/>
              </w:rPr>
            </m:ctrlPr>
          </m:sSubPr>
          <m:e>
            <m:r>
              <w:rPr>
                <w:rFonts w:ascii="Cambria Math" w:hAnsi="Cambria Math" w:cs="Times New Roman"/>
                <w:lang w:val="en-GB"/>
              </w:rPr>
              <m:t>p</m:t>
            </m:r>
          </m:e>
          <m:sub>
            <m:r>
              <w:rPr>
                <w:rFonts w:ascii="Cambria Math" w:hAnsi="Cambria Math" w:cs="Times New Roman"/>
                <w:lang w:val="en-GB"/>
              </w:rPr>
              <m:t>x</m:t>
            </m:r>
          </m:sub>
        </m:sSub>
      </m:oMath>
      <w:r w:rsidRPr="007D2E18">
        <w:rPr>
          <w:rFonts w:ascii="Times New Roman" w:hAnsi="Times New Roman" w:cs="Times New Roman"/>
          <w:lang w:val="en-GB"/>
        </w:rPr>
        <w:t xml:space="preserve"> lags, using the Newey-West estimator with 12-order bandwidth. “</w:t>
      </w:r>
      <m:oMath>
        <m:r>
          <w:rPr>
            <w:rFonts w:ascii="Cambria Math" w:hAnsi="Cambria Math" w:cs="Times New Roman"/>
            <w:lang w:val="en-GB"/>
          </w:rPr>
          <m:t>p</m:t>
        </m:r>
      </m:oMath>
      <w:r w:rsidRPr="007D2E18">
        <w:rPr>
          <w:rFonts w:ascii="Times New Roman" w:hAnsi="Times New Roman" w:cs="Times New Roman"/>
          <w:lang w:val="en-GB"/>
        </w:rPr>
        <w:t xml:space="preserve">-value” corresponds to the </w:t>
      </w:r>
      <m:oMath>
        <m:r>
          <w:rPr>
            <w:rFonts w:ascii="Cambria Math" w:hAnsi="Cambria Math" w:cs="Times New Roman"/>
            <w:lang w:val="en-GB"/>
          </w:rPr>
          <m:t>p</m:t>
        </m:r>
      </m:oMath>
      <w:r w:rsidRPr="007D2E18">
        <w:rPr>
          <w:rFonts w:ascii="Times New Roman" w:hAnsi="Times New Roman" w:cs="Times New Roman"/>
          <w:lang w:val="en-GB"/>
        </w:rPr>
        <w:t xml:space="preserve">-value of the null hypothesis that </w:t>
      </w:r>
      <m:oMath>
        <m:sSub>
          <m:sSubPr>
            <m:ctrlPr>
              <w:rPr>
                <w:rFonts w:ascii="Cambria Math" w:hAnsi="Cambria Math" w:cs="Times New Roman"/>
                <w:i/>
                <w:lang w:val="en-GB"/>
              </w:rPr>
            </m:ctrlPr>
          </m:sSubPr>
          <m:e>
            <m:r>
              <w:rPr>
                <w:rFonts w:ascii="Cambria Math" w:hAnsi="Cambria Math" w:cs="Times New Roman"/>
                <w:lang w:val="en-GB"/>
              </w:rPr>
              <m:t>x</m:t>
            </m:r>
          </m:e>
          <m:sub>
            <m:r>
              <w:rPr>
                <w:rFonts w:ascii="Cambria Math" w:hAnsi="Cambria Math" w:cs="Times New Roman"/>
                <w:lang w:val="en-GB"/>
              </w:rPr>
              <m:t>t</m:t>
            </m:r>
          </m:sub>
        </m:sSub>
      </m:oMath>
      <w:r w:rsidRPr="007D2E18">
        <w:rPr>
          <w:rFonts w:ascii="Times New Roman" w:hAnsi="Times New Roman" w:cs="Times New Roman"/>
          <w:lang w:val="en-GB"/>
        </w:rPr>
        <w:t xml:space="preserve"> do not Granger cause </w:t>
      </w:r>
      <m:oMath>
        <m:sSub>
          <m:sSubPr>
            <m:ctrlPr>
              <w:rPr>
                <w:rFonts w:ascii="Cambria Math" w:hAnsi="Cambria Math" w:cs="Times New Roman"/>
                <w:i/>
                <w:lang w:val="en-GB"/>
              </w:rPr>
            </m:ctrlPr>
          </m:sSubPr>
          <m:e>
            <m:r>
              <w:rPr>
                <w:rFonts w:ascii="Cambria Math" w:hAnsi="Cambria Math" w:cs="Times New Roman"/>
                <w:lang w:val="en-GB"/>
              </w:rPr>
              <m:t>y</m:t>
            </m:r>
          </m:e>
          <m:sub>
            <m:r>
              <w:rPr>
                <w:rFonts w:ascii="Cambria Math" w:hAnsi="Cambria Math" w:cs="Times New Roman"/>
                <w:lang w:val="en-GB"/>
              </w:rPr>
              <m:t>t</m:t>
            </m:r>
          </m:sub>
        </m:sSub>
      </m:oMath>
      <w:r w:rsidRPr="007D2E18">
        <w:rPr>
          <w:rFonts w:ascii="Times New Roman" w:hAnsi="Times New Roman" w:cs="Times New Roman"/>
          <w:lang w:val="en-GB"/>
        </w:rPr>
        <w:t xml:space="preserve">. “R-sq. adj.” denotes the adjusted goodness-of-fit coefficient of the regression. “Infrc.” synthetizes Granger’s causality statistical inference. “BG” stands for the </w:t>
      </w:r>
      <m:oMath>
        <m:r>
          <w:rPr>
            <w:rFonts w:ascii="Cambria Math" w:hAnsi="Cambria Math" w:cs="Times New Roman"/>
            <w:lang w:val="en-GB"/>
          </w:rPr>
          <m:t>p</m:t>
        </m:r>
      </m:oMath>
      <w:r w:rsidRPr="007D2E18">
        <w:rPr>
          <w:rFonts w:ascii="Times New Roman" w:hAnsi="Times New Roman" w:cs="Times New Roman"/>
          <w:lang w:val="en-GB"/>
        </w:rPr>
        <w:t xml:space="preserve">-value of the Breusch-Godfrey test, whose null hypothesis is no serial correlation up to the sixth lag. Sample: 2001.1-2012.3. </w:t>
      </w:r>
      <m:oMath>
        <m:r>
          <w:rPr>
            <w:rFonts w:ascii="Cambria Math" w:hAnsi="Cambria Math" w:cs="Times New Roman"/>
            <w:lang w:val="en-GB"/>
          </w:rPr>
          <m:t>p</m:t>
        </m:r>
      </m:oMath>
      <w:r w:rsidRPr="007D2E18">
        <w:rPr>
          <w:rFonts w:ascii="Times New Roman" w:hAnsi="Times New Roman" w:cs="Times New Roman"/>
          <w:lang w:val="en-GB"/>
        </w:rPr>
        <w:t>-value: bold&lt;15%; italics&gt;15%. Source: Authors’ calculations.</w:t>
      </w:r>
    </w:p>
    <w:p w14:paraId="1DADFCE3" w14:textId="77777777" w:rsidR="00394FA1" w:rsidRPr="007D2E18" w:rsidRDefault="00394FA1" w:rsidP="00A456AE">
      <w:pPr>
        <w:spacing w:after="0" w:line="240" w:lineRule="auto"/>
        <w:jc w:val="both"/>
        <w:rPr>
          <w:rFonts w:ascii="Times New Roman" w:hAnsi="Times New Roman" w:cs="Times New Roman"/>
          <w:sz w:val="24"/>
          <w:szCs w:val="24"/>
          <w:lang w:val="en-GB"/>
        </w:rPr>
      </w:pPr>
    </w:p>
    <w:p w14:paraId="2DC58BD1" w14:textId="77777777" w:rsidR="00AB1A63"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Similarly, the second panel of Table 5 shows that the non-OPEC geopolitical tensions cause oil price expectations from the third lag onwards (but the fourth lag autocorrelated), implying that future oil prices are formed not only by OPEC news, but also by geopolitical tensions in general. This result is supported </w:t>
      </w:r>
      <w:r w:rsidRPr="007D2E18">
        <w:rPr>
          <w:rFonts w:ascii="Times New Roman" w:hAnsi="Times New Roman" w:cs="Times New Roman"/>
          <w:sz w:val="24"/>
          <w:szCs w:val="24"/>
          <w:lang w:val="en-GB"/>
        </w:rPr>
        <w:lastRenderedPageBreak/>
        <w:t>with the causality going in this direction only. The third panel, in turn, shows that non-OPEC news cause forecast disagreement with the first lag only. Recall that when using the measure with all tensions and news, this occurs with the first and fourth lags, while with the OPEC measure, from the fourth lag onwards. This means that there are tensions and non-OPEC news that immediately affect forecasters</w:t>
      </w:r>
      <w:r w:rsidR="00AB1A63"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 xml:space="preserve"> consensus, or that at the same time, and given its more diverse nature, it is information that is more difficult to process by forecasters making it difficult to achieve a consensus.</w:t>
      </w:r>
    </w:p>
    <w:p w14:paraId="054B3323" w14:textId="77777777" w:rsidR="00AB1A63" w:rsidRPr="007D2E18" w:rsidRDefault="00AB1A63" w:rsidP="00A456AE">
      <w:pPr>
        <w:spacing w:after="0" w:line="240" w:lineRule="auto"/>
        <w:jc w:val="both"/>
        <w:rPr>
          <w:rFonts w:ascii="Times New Roman" w:hAnsi="Times New Roman" w:cs="Times New Roman"/>
          <w:sz w:val="24"/>
          <w:szCs w:val="24"/>
          <w:lang w:val="en-GB"/>
        </w:rPr>
      </w:pPr>
    </w:p>
    <w:p w14:paraId="142D1E2E" w14:textId="30F580FC" w:rsidR="0085000C"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In summary, geopolitical tensions and news in general affect the current oil price as well as its forecasts and dispersion. When distinguishing between news and tensions from OPEC versus non-OPEC, we find that the latter affects the spot oil price and, at the same time, oil prices cause the news related to the oil supply in OPEC countries (without affecting the spot price). Both measures of geopolitical tensions and news cause oil price forecasts starting from the three-month horizon. Additionally, both measures cause the dispersion around these forecasts, although the most immediate effect is due to tensions and news unrelated to OPEC.</w:t>
      </w:r>
    </w:p>
    <w:p w14:paraId="21EB8096" w14:textId="77777777" w:rsidR="0085000C" w:rsidRPr="007D2E18" w:rsidRDefault="0085000C" w:rsidP="00A456AE">
      <w:pPr>
        <w:spacing w:after="0" w:line="240" w:lineRule="auto"/>
        <w:jc w:val="both"/>
        <w:rPr>
          <w:rFonts w:ascii="Times New Roman" w:hAnsi="Times New Roman" w:cs="Times New Roman"/>
          <w:sz w:val="24"/>
          <w:szCs w:val="24"/>
          <w:lang w:val="en-GB"/>
        </w:rPr>
      </w:pPr>
    </w:p>
    <w:p w14:paraId="62B0C4F8" w14:textId="6926BE18" w:rsidR="0085000C" w:rsidRPr="007D2E18" w:rsidRDefault="00AB1A63" w:rsidP="00AB1A63">
      <w:pPr>
        <w:pStyle w:val="Prrafodelista"/>
        <w:numPr>
          <w:ilvl w:val="0"/>
          <w:numId w:val="1"/>
        </w:numPr>
        <w:spacing w:after="0" w:line="240" w:lineRule="auto"/>
        <w:jc w:val="both"/>
        <w:rPr>
          <w:rFonts w:ascii="Times New Roman" w:hAnsi="Times New Roman" w:cs="Times New Roman"/>
          <w:b/>
          <w:bCs/>
          <w:sz w:val="24"/>
          <w:szCs w:val="24"/>
          <w:lang w:val="en-GB"/>
        </w:rPr>
      </w:pPr>
      <w:r w:rsidRPr="007D2E18">
        <w:rPr>
          <w:rFonts w:ascii="Times New Roman" w:hAnsi="Times New Roman" w:cs="Times New Roman"/>
          <w:b/>
          <w:bCs/>
          <w:sz w:val="24"/>
          <w:szCs w:val="24"/>
          <w:lang w:val="en-GB"/>
        </w:rPr>
        <w:t>SUMMARY AND CONCLUDING REMARKS</w:t>
      </w:r>
    </w:p>
    <w:p w14:paraId="6A15AB0B" w14:textId="77777777" w:rsidR="00AB1A63" w:rsidRPr="007D2E18" w:rsidRDefault="00AB1A63" w:rsidP="00A456AE">
      <w:pPr>
        <w:spacing w:after="0" w:line="240" w:lineRule="auto"/>
        <w:jc w:val="both"/>
        <w:rPr>
          <w:rFonts w:ascii="Times New Roman" w:hAnsi="Times New Roman" w:cs="Times New Roman"/>
          <w:sz w:val="24"/>
          <w:szCs w:val="24"/>
          <w:lang w:val="en-GB"/>
        </w:rPr>
      </w:pPr>
    </w:p>
    <w:p w14:paraId="55BE4908" w14:textId="77777777" w:rsidR="00AB1A63"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Crude oil and its processed liquids are essential commodities for the world economy. The chronic oil dependence of major economies and a degree of geographic concentration of part of the biggest oil-producer countries which, at the same time, suffer of high political instability and uprisings, carry particular features to this global market. On top of that, it is added the existence of OPEC </w:t>
      </w:r>
      <w:r w:rsidR="00AB1A63"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to coordinate and unify policies of its member countries,</w:t>
      </w:r>
      <w:r w:rsidR="00AB1A63"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 xml:space="preserve"> (OPEC, 2012) leading to think about them acting as a cartel. It is relevant then to delve into the particular effect of (non-economic based) unexpected geopolitical tensions and news related to major oil producers, and disentangling the news related to OPEC on oil price within a wider environment of threats, tensions, political instability, and oil supply news.</w:t>
      </w:r>
    </w:p>
    <w:p w14:paraId="4A4F7E72" w14:textId="77777777" w:rsidR="00AB1A63" w:rsidRPr="007D2E18" w:rsidRDefault="00AB1A63" w:rsidP="00A456AE">
      <w:pPr>
        <w:spacing w:after="0" w:line="240" w:lineRule="auto"/>
        <w:jc w:val="both"/>
        <w:rPr>
          <w:rFonts w:ascii="Times New Roman" w:hAnsi="Times New Roman" w:cs="Times New Roman"/>
          <w:sz w:val="24"/>
          <w:szCs w:val="24"/>
          <w:lang w:val="en-GB"/>
        </w:rPr>
      </w:pPr>
    </w:p>
    <w:p w14:paraId="58638DD6" w14:textId="77777777" w:rsidR="00AB1A63"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In this article, we empirically test these hypotheses using a unique, purposely built media-based measure of geopolitical tensions and news accounting not only for supply crunches but also for expansions, comprising the 2001-12 period. Our measure is the result of adding (or subtracting) 10 dummy variables associated to news relevant to the oil market, as suggested by its sources (Bloomberg, </w:t>
      </w:r>
      <w:r w:rsidRPr="007D2E18">
        <w:rPr>
          <w:rFonts w:ascii="Times New Roman" w:hAnsi="Times New Roman" w:cs="Times New Roman"/>
          <w:i/>
          <w:iCs/>
          <w:sz w:val="24"/>
          <w:szCs w:val="24"/>
          <w:lang w:val="en-GB"/>
        </w:rPr>
        <w:t>The Wall Street Journal</w:t>
      </w:r>
      <w:r w:rsidRPr="007D2E18">
        <w:rPr>
          <w:rFonts w:ascii="Times New Roman" w:hAnsi="Times New Roman" w:cs="Times New Roman"/>
          <w:sz w:val="24"/>
          <w:szCs w:val="24"/>
          <w:lang w:val="en-GB"/>
        </w:rPr>
        <w:t xml:space="preserve">, </w:t>
      </w:r>
      <w:r w:rsidRPr="007D2E18">
        <w:rPr>
          <w:rFonts w:ascii="Times New Roman" w:hAnsi="Times New Roman" w:cs="Times New Roman"/>
          <w:i/>
          <w:iCs/>
          <w:sz w:val="24"/>
          <w:szCs w:val="24"/>
          <w:lang w:val="en-GB"/>
        </w:rPr>
        <w:t>Financial Times</w:t>
      </w:r>
      <w:r w:rsidRPr="007D2E18">
        <w:rPr>
          <w:rFonts w:ascii="Times New Roman" w:hAnsi="Times New Roman" w:cs="Times New Roman"/>
          <w:sz w:val="24"/>
          <w:szCs w:val="24"/>
          <w:lang w:val="en-GB"/>
        </w:rPr>
        <w:t xml:space="preserve">, and the </w:t>
      </w:r>
      <w:r w:rsidRPr="007D2E18">
        <w:rPr>
          <w:rFonts w:ascii="Times New Roman" w:hAnsi="Times New Roman" w:cs="Times New Roman"/>
          <w:i/>
          <w:iCs/>
          <w:sz w:val="24"/>
          <w:szCs w:val="24"/>
          <w:lang w:val="en-GB"/>
        </w:rPr>
        <w:t>United States Energy Information Administration</w:t>
      </w:r>
      <w:r w:rsidRPr="007D2E18">
        <w:rPr>
          <w:rFonts w:ascii="Times New Roman" w:hAnsi="Times New Roman" w:cs="Times New Roman"/>
          <w:sz w:val="24"/>
          <w:szCs w:val="24"/>
          <w:lang w:val="en-GB"/>
        </w:rPr>
        <w:t xml:space="preserve">). One of these dummy variables is exclusively referred to OPEC. To stress out the informational content of the newly proposed geopolitical tensions and OPEC news measure, we analyse its effect not only on current Brent oil price but also on its forecast and dispersion, as included in the </w:t>
      </w:r>
      <w:r w:rsidRPr="007D2E18">
        <w:rPr>
          <w:rFonts w:ascii="Times New Roman" w:hAnsi="Times New Roman" w:cs="Times New Roman"/>
          <w:i/>
          <w:iCs/>
          <w:sz w:val="24"/>
          <w:szCs w:val="24"/>
          <w:lang w:val="en-GB"/>
        </w:rPr>
        <w:t>Consensus Forecast</w:t>
      </w:r>
      <w:r w:rsidRPr="007D2E18">
        <w:rPr>
          <w:rFonts w:ascii="Times New Roman" w:hAnsi="Times New Roman" w:cs="Times New Roman"/>
          <w:sz w:val="24"/>
          <w:szCs w:val="24"/>
          <w:lang w:val="en-GB"/>
        </w:rPr>
        <w:t xml:space="preserve"> survey.</w:t>
      </w:r>
    </w:p>
    <w:p w14:paraId="415F0E59" w14:textId="77777777" w:rsidR="00AB1A63" w:rsidRPr="007D2E18" w:rsidRDefault="00AB1A63" w:rsidP="00A456AE">
      <w:pPr>
        <w:spacing w:after="0" w:line="240" w:lineRule="auto"/>
        <w:jc w:val="both"/>
        <w:rPr>
          <w:rFonts w:ascii="Times New Roman" w:hAnsi="Times New Roman" w:cs="Times New Roman"/>
          <w:sz w:val="24"/>
          <w:szCs w:val="24"/>
          <w:lang w:val="en-GB"/>
        </w:rPr>
      </w:pPr>
    </w:p>
    <w:p w14:paraId="2BBA87A8" w14:textId="77777777" w:rsidR="00AB1A63"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By means of Granger causality, three hypotheses are examined and supported by testing the other way around to determine full independence or a feedback relationship between variables. The first hypothesis is if the overall (OPEC plus non-OPEC) geopolitical tensions and news measure Granger cause the current oil price. The second hypothesis is if the same measure cause oil price forecasts, and a third one if the same occur for forecast dispersion (consensus). We then perform these three hypotheses using the non-OPEC and purely OPEC measures to compare and conclude about what actually influence oil prices.</w:t>
      </w:r>
    </w:p>
    <w:p w14:paraId="60970E78" w14:textId="77777777" w:rsidR="00AB1A63" w:rsidRPr="007D2E18" w:rsidRDefault="00AB1A63" w:rsidP="00A456AE">
      <w:pPr>
        <w:spacing w:after="0" w:line="240" w:lineRule="auto"/>
        <w:jc w:val="both"/>
        <w:rPr>
          <w:rFonts w:ascii="Times New Roman" w:hAnsi="Times New Roman" w:cs="Times New Roman"/>
          <w:sz w:val="24"/>
          <w:szCs w:val="24"/>
          <w:lang w:val="en-GB"/>
        </w:rPr>
      </w:pPr>
    </w:p>
    <w:p w14:paraId="4A4E2ED1" w14:textId="77777777" w:rsidR="00AB1A63"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After stressing out our measure of geopolitical tensions and news, obtaining a reliable outcome, we found evidence suggesting that overall geopolitical tensions and news affect the current level of the oil price, its forecasts, and the dispersion of those forecasts. More remarkably, when distinguishing between OPEC versus non-OPEC news, we found that the former affect oil price forecasts and its consensus, and at the </w:t>
      </w:r>
      <w:r w:rsidRPr="007D2E18">
        <w:rPr>
          <w:rFonts w:ascii="Times New Roman" w:hAnsi="Times New Roman" w:cs="Times New Roman"/>
          <w:sz w:val="24"/>
          <w:szCs w:val="24"/>
          <w:lang w:val="en-GB"/>
        </w:rPr>
        <w:lastRenderedPageBreak/>
        <w:t>same time, the current oil price determines oil-based news on OPEC countries. Moreover, non-OPEC news affect the current and future oil price level and they are not affected by the current level and neither the forecast nor the dispersion of those forecasts.</w:t>
      </w:r>
    </w:p>
    <w:p w14:paraId="68913DA7" w14:textId="77777777" w:rsidR="00AB1A63" w:rsidRPr="007D2E18" w:rsidRDefault="00AB1A63" w:rsidP="00A456AE">
      <w:pPr>
        <w:spacing w:after="0" w:line="240" w:lineRule="auto"/>
        <w:jc w:val="both"/>
        <w:rPr>
          <w:rFonts w:ascii="Times New Roman" w:hAnsi="Times New Roman" w:cs="Times New Roman"/>
          <w:sz w:val="24"/>
          <w:szCs w:val="24"/>
          <w:lang w:val="en-GB"/>
        </w:rPr>
      </w:pPr>
    </w:p>
    <w:p w14:paraId="0DDCF461" w14:textId="77777777" w:rsidR="00AB1A63"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All these results imply that geopolitical tensions and news in a broader sense affect oil prices, and OPEC news should be read jointly with other geopolitical tensions as oil price drivers--and not as an isolated news generator. This weakens the hypothesis of OPEC as a price setter in the global oil market whose behaviour, in turn, seems a matter for forecasters. Moreover, it is the current oil price that affects the OPEC-based news</w:t>
      </w:r>
      <w:r w:rsidR="00AB1A63" w:rsidRPr="007D2E18">
        <w:rPr>
          <w:rFonts w:ascii="Times New Roman" w:hAnsi="Times New Roman" w:cs="Times New Roman"/>
          <w:sz w:val="24"/>
          <w:szCs w:val="24"/>
          <w:lang w:val="en-GB"/>
        </w:rPr>
        <w:t>.</w:t>
      </w:r>
    </w:p>
    <w:p w14:paraId="0D32E28E" w14:textId="77777777" w:rsidR="00AB1A63" w:rsidRPr="007D2E18" w:rsidRDefault="00AB1A63" w:rsidP="00A456AE">
      <w:pPr>
        <w:spacing w:after="0" w:line="240" w:lineRule="auto"/>
        <w:jc w:val="both"/>
        <w:rPr>
          <w:rFonts w:ascii="Times New Roman" w:hAnsi="Times New Roman" w:cs="Times New Roman"/>
          <w:sz w:val="24"/>
          <w:szCs w:val="24"/>
          <w:lang w:val="en-GB"/>
        </w:rPr>
      </w:pPr>
    </w:p>
    <w:p w14:paraId="40B3809A" w14:textId="7097DE2A" w:rsidR="0085000C" w:rsidRPr="007D2E18" w:rsidRDefault="00AB1A63"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T</w:t>
      </w:r>
      <w:r w:rsidR="0085000C" w:rsidRPr="007D2E18">
        <w:rPr>
          <w:rFonts w:ascii="Times New Roman" w:hAnsi="Times New Roman" w:cs="Times New Roman"/>
          <w:sz w:val="24"/>
          <w:szCs w:val="24"/>
          <w:lang w:val="en-GB"/>
        </w:rPr>
        <w:t>hese results are important suggesting that, in order to keep track of oil price dynamics, is needed accounting for a more general context of news and geopolitical tensions beyond OPEC countries, relying on signals and externalities that are not necessarily based on economic rationale.</w:t>
      </w:r>
    </w:p>
    <w:p w14:paraId="41597BDF" w14:textId="77777777" w:rsidR="0085000C" w:rsidRPr="007D2E18" w:rsidRDefault="0085000C" w:rsidP="00A456AE">
      <w:pPr>
        <w:spacing w:after="0" w:line="240" w:lineRule="auto"/>
        <w:jc w:val="both"/>
        <w:rPr>
          <w:rFonts w:ascii="Times New Roman" w:hAnsi="Times New Roman" w:cs="Times New Roman"/>
          <w:sz w:val="24"/>
          <w:szCs w:val="24"/>
          <w:lang w:val="en-GB"/>
        </w:rPr>
      </w:pPr>
    </w:p>
    <w:p w14:paraId="20F1F161" w14:textId="0B65F049" w:rsidR="0085000C" w:rsidRPr="007D2E18" w:rsidRDefault="00AB1A63" w:rsidP="00A456AE">
      <w:pPr>
        <w:spacing w:after="0" w:line="240" w:lineRule="auto"/>
        <w:jc w:val="both"/>
        <w:rPr>
          <w:rFonts w:ascii="Times New Roman" w:hAnsi="Times New Roman" w:cs="Times New Roman"/>
          <w:b/>
          <w:bCs/>
          <w:sz w:val="24"/>
          <w:szCs w:val="24"/>
          <w:lang w:val="en-GB"/>
        </w:rPr>
      </w:pPr>
      <w:r w:rsidRPr="007D2E18">
        <w:rPr>
          <w:rFonts w:ascii="Times New Roman" w:hAnsi="Times New Roman" w:cs="Times New Roman"/>
          <w:b/>
          <w:bCs/>
          <w:sz w:val="24"/>
          <w:szCs w:val="24"/>
          <w:lang w:val="en-GB"/>
        </w:rPr>
        <w:t>DISCLOSURE</w:t>
      </w:r>
    </w:p>
    <w:p w14:paraId="281AF8A6" w14:textId="77777777" w:rsidR="00AB1A63" w:rsidRPr="007D2E18" w:rsidRDefault="00AB1A63" w:rsidP="00A456AE">
      <w:pPr>
        <w:spacing w:after="0" w:line="240" w:lineRule="auto"/>
        <w:jc w:val="both"/>
        <w:rPr>
          <w:rFonts w:ascii="Times New Roman" w:hAnsi="Times New Roman" w:cs="Times New Roman"/>
          <w:sz w:val="24"/>
          <w:szCs w:val="24"/>
          <w:lang w:val="en-GB"/>
        </w:rPr>
      </w:pPr>
    </w:p>
    <w:p w14:paraId="4F674EA5" w14:textId="38D03F59" w:rsidR="0085000C"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No interest other than an economic research question on applied economics has motivated this article. There is no conflict of interests of any kind involved in the production of this article.</w:t>
      </w:r>
    </w:p>
    <w:p w14:paraId="4940F82B" w14:textId="77777777" w:rsidR="0085000C" w:rsidRPr="007D2E18" w:rsidRDefault="0085000C" w:rsidP="00A456AE">
      <w:pPr>
        <w:spacing w:after="0" w:line="240" w:lineRule="auto"/>
        <w:jc w:val="both"/>
        <w:rPr>
          <w:rFonts w:ascii="Times New Roman" w:hAnsi="Times New Roman" w:cs="Times New Roman"/>
          <w:sz w:val="24"/>
          <w:szCs w:val="24"/>
          <w:lang w:val="en-GB"/>
        </w:rPr>
      </w:pPr>
    </w:p>
    <w:p w14:paraId="5C7D567F" w14:textId="7CB3A91F" w:rsidR="0085000C" w:rsidRPr="007D2E18" w:rsidRDefault="00AB1A63" w:rsidP="00A456AE">
      <w:pPr>
        <w:spacing w:after="0" w:line="240" w:lineRule="auto"/>
        <w:jc w:val="both"/>
        <w:rPr>
          <w:rFonts w:ascii="Times New Roman" w:hAnsi="Times New Roman" w:cs="Times New Roman"/>
          <w:b/>
          <w:bCs/>
          <w:sz w:val="24"/>
          <w:szCs w:val="24"/>
          <w:lang w:val="en-GB"/>
        </w:rPr>
      </w:pPr>
      <w:r w:rsidRPr="007D2E18">
        <w:rPr>
          <w:rFonts w:ascii="Times New Roman" w:hAnsi="Times New Roman" w:cs="Times New Roman"/>
          <w:b/>
          <w:bCs/>
          <w:sz w:val="24"/>
          <w:szCs w:val="24"/>
          <w:lang w:val="en-GB"/>
        </w:rPr>
        <w:t>REFERENCES</w:t>
      </w:r>
    </w:p>
    <w:p w14:paraId="45C2C4A5" w14:textId="77777777" w:rsidR="00AB1A63" w:rsidRPr="007D2E18" w:rsidRDefault="00AB1A63" w:rsidP="00A456AE">
      <w:pPr>
        <w:spacing w:after="0" w:line="240" w:lineRule="auto"/>
        <w:jc w:val="both"/>
        <w:rPr>
          <w:rFonts w:ascii="Times New Roman" w:hAnsi="Times New Roman" w:cs="Times New Roman"/>
          <w:sz w:val="24"/>
          <w:szCs w:val="24"/>
          <w:lang w:val="en-GB"/>
        </w:rPr>
      </w:pPr>
    </w:p>
    <w:p w14:paraId="042A3371" w14:textId="048903AC"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ADELMAN</w:t>
      </w:r>
      <w:r w:rsidR="0085000C" w:rsidRPr="007D2E18">
        <w:rPr>
          <w:rFonts w:ascii="Times New Roman" w:hAnsi="Times New Roman" w:cs="Times New Roman"/>
          <w:sz w:val="24"/>
          <w:szCs w:val="24"/>
          <w:lang w:val="en-GB"/>
        </w:rPr>
        <w:t>, M.A. (1982)</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F4D10"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OPEC as a Cartel</w:t>
      </w:r>
      <w:r w:rsidR="008F4D10"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in G.M. Griffin and D.J. Teece (Eds.), </w:t>
      </w:r>
      <w:r w:rsidR="0085000C" w:rsidRPr="007D2E18">
        <w:rPr>
          <w:rFonts w:ascii="Times New Roman" w:hAnsi="Times New Roman" w:cs="Times New Roman"/>
          <w:i/>
          <w:iCs/>
          <w:sz w:val="24"/>
          <w:szCs w:val="24"/>
          <w:lang w:val="en-GB"/>
        </w:rPr>
        <w:t>OPEC Behaviour and World Oil Prices</w:t>
      </w:r>
      <w:r w:rsidR="0085000C" w:rsidRPr="007D2E18">
        <w:rPr>
          <w:rFonts w:ascii="Times New Roman" w:hAnsi="Times New Roman" w:cs="Times New Roman"/>
          <w:sz w:val="24"/>
          <w:szCs w:val="24"/>
          <w:lang w:val="en-GB"/>
        </w:rPr>
        <w:t>, Allen &amp; Unwin, London, UK.</w:t>
      </w:r>
    </w:p>
    <w:p w14:paraId="0952E464" w14:textId="14DFB41F"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ADELMAN</w:t>
      </w:r>
      <w:r w:rsidR="0085000C" w:rsidRPr="007D2E18">
        <w:rPr>
          <w:rFonts w:ascii="Times New Roman" w:hAnsi="Times New Roman" w:cs="Times New Roman"/>
          <w:sz w:val="24"/>
          <w:szCs w:val="24"/>
          <w:lang w:val="en-GB"/>
        </w:rPr>
        <w:t>, M.A. (2002)</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World Oil Production and Prices 1947-2000</w:t>
      </w:r>
      <w:r w:rsidR="00AB1A63" w:rsidRPr="007D2E18">
        <w:rPr>
          <w:rFonts w:ascii="Times New Roman" w:hAnsi="Times New Roman" w:cs="Times New Roman"/>
          <w:sz w:val="24"/>
          <w:szCs w:val="24"/>
          <w:lang w:val="en-GB"/>
        </w:rPr>
        <w:t>”</w:t>
      </w:r>
      <w:r w:rsidR="008861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Quarterly Review of Economics and Finance</w:t>
      </w:r>
      <w:r w:rsidR="0085000C" w:rsidRPr="007D2E18">
        <w:rPr>
          <w:rFonts w:ascii="Times New Roman" w:hAnsi="Times New Roman" w:cs="Times New Roman"/>
          <w:sz w:val="24"/>
          <w:szCs w:val="24"/>
          <w:lang w:val="en-GB"/>
        </w:rPr>
        <w:t xml:space="preserve"> 42</w:t>
      </w:r>
      <w:r w:rsidR="00886189"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(2)</w:t>
      </w:r>
      <w:r w:rsidR="00886189"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169-191.</w:t>
      </w:r>
    </w:p>
    <w:p w14:paraId="0F4AF580" w14:textId="15C70D99"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AGUIAR-CONRARIA</w:t>
      </w:r>
      <w:r w:rsidR="0085000C" w:rsidRPr="007D2E18">
        <w:rPr>
          <w:rFonts w:ascii="Times New Roman" w:hAnsi="Times New Roman" w:cs="Times New Roman"/>
          <w:sz w:val="24"/>
          <w:szCs w:val="24"/>
          <w:lang w:val="en-GB"/>
        </w:rPr>
        <w:t xml:space="preserve">, L. and Y. </w:t>
      </w:r>
      <w:r w:rsidRPr="007D2E18">
        <w:rPr>
          <w:rFonts w:ascii="Times New Roman" w:hAnsi="Times New Roman" w:cs="Times New Roman"/>
          <w:sz w:val="24"/>
          <w:szCs w:val="24"/>
          <w:lang w:val="en-GB"/>
        </w:rPr>
        <w:t xml:space="preserve">WEN </w:t>
      </w:r>
      <w:r w:rsidR="0085000C" w:rsidRPr="007D2E18">
        <w:rPr>
          <w:rFonts w:ascii="Times New Roman" w:hAnsi="Times New Roman" w:cs="Times New Roman"/>
          <w:sz w:val="24"/>
          <w:szCs w:val="24"/>
          <w:lang w:val="en-GB"/>
        </w:rPr>
        <w:t>(2012)</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OPEC</w:t>
      </w:r>
      <w:r w:rsidR="008861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s Oil Exporting Strategy and Macroeconomics (In)stability</w:t>
      </w:r>
      <w:r w:rsidR="00AB1A63" w:rsidRPr="007D2E18">
        <w:rPr>
          <w:rFonts w:ascii="Times New Roman" w:hAnsi="Times New Roman" w:cs="Times New Roman"/>
          <w:sz w:val="24"/>
          <w:szCs w:val="24"/>
          <w:lang w:val="en-GB"/>
        </w:rPr>
        <w:t>”</w:t>
      </w:r>
      <w:r w:rsidR="008861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Energy Economics</w:t>
      </w:r>
      <w:r w:rsidR="0085000C" w:rsidRPr="007D2E18">
        <w:rPr>
          <w:rFonts w:ascii="Times New Roman" w:hAnsi="Times New Roman" w:cs="Times New Roman"/>
          <w:sz w:val="24"/>
          <w:szCs w:val="24"/>
          <w:lang w:val="en-GB"/>
        </w:rPr>
        <w:t xml:space="preserve"> 34</w:t>
      </w:r>
      <w:r w:rsidR="00886189"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(1)</w:t>
      </w:r>
      <w:r w:rsidR="00886189"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132-136.</w:t>
      </w:r>
    </w:p>
    <w:p w14:paraId="2B4C7B97" w14:textId="400A3F11"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ALHAJJI</w:t>
      </w:r>
      <w:r w:rsidR="0085000C" w:rsidRPr="007D2E18">
        <w:rPr>
          <w:rFonts w:ascii="Times New Roman" w:hAnsi="Times New Roman" w:cs="Times New Roman"/>
          <w:sz w:val="24"/>
          <w:szCs w:val="24"/>
          <w:lang w:val="en-GB"/>
        </w:rPr>
        <w:t xml:space="preserve">, A. and D. </w:t>
      </w:r>
      <w:r w:rsidRPr="007D2E18">
        <w:rPr>
          <w:rFonts w:ascii="Times New Roman" w:hAnsi="Times New Roman" w:cs="Times New Roman"/>
          <w:sz w:val="24"/>
          <w:szCs w:val="24"/>
          <w:lang w:val="en-GB"/>
        </w:rPr>
        <w:t xml:space="preserve">HUETTNER </w:t>
      </w:r>
      <w:r w:rsidR="0085000C" w:rsidRPr="007D2E18">
        <w:rPr>
          <w:rFonts w:ascii="Times New Roman" w:hAnsi="Times New Roman" w:cs="Times New Roman"/>
          <w:sz w:val="24"/>
          <w:szCs w:val="24"/>
          <w:lang w:val="en-GB"/>
        </w:rPr>
        <w:t>(2000)</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OPEC and the World Oil Markets from 1973 to 1994: Cartel, Oligopoly or Competitive?</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The Energy Journal</w:t>
      </w:r>
      <w:r w:rsidR="0085000C" w:rsidRPr="007D2E18">
        <w:rPr>
          <w:rFonts w:ascii="Times New Roman" w:hAnsi="Times New Roman" w:cs="Times New Roman"/>
          <w:sz w:val="24"/>
          <w:szCs w:val="24"/>
          <w:lang w:val="en-GB"/>
        </w:rPr>
        <w:t xml:space="preserve"> 21</w:t>
      </w:r>
      <w:r w:rsidR="00886189"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(3)</w:t>
      </w:r>
      <w:r w:rsidR="00886189"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31-60.</w:t>
      </w:r>
    </w:p>
    <w:p w14:paraId="7F2775B2" w14:textId="10616B85"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ALMOGUERA</w:t>
      </w:r>
      <w:r w:rsidR="0085000C" w:rsidRPr="007D2E18">
        <w:rPr>
          <w:rFonts w:ascii="Times New Roman" w:hAnsi="Times New Roman" w:cs="Times New Roman"/>
          <w:sz w:val="24"/>
          <w:szCs w:val="24"/>
          <w:lang w:val="en-GB"/>
        </w:rPr>
        <w:t xml:space="preserve">, P.A., C.C. </w:t>
      </w:r>
      <w:r w:rsidRPr="007D2E18">
        <w:rPr>
          <w:rFonts w:ascii="Times New Roman" w:hAnsi="Times New Roman" w:cs="Times New Roman"/>
          <w:sz w:val="24"/>
          <w:szCs w:val="24"/>
          <w:lang w:val="en-GB"/>
        </w:rPr>
        <w:t>DOUGLAS</w:t>
      </w:r>
      <w:r w:rsidR="0085000C" w:rsidRPr="007D2E18">
        <w:rPr>
          <w:rFonts w:ascii="Times New Roman" w:hAnsi="Times New Roman" w:cs="Times New Roman"/>
          <w:sz w:val="24"/>
          <w:szCs w:val="24"/>
          <w:lang w:val="en-GB"/>
        </w:rPr>
        <w:t xml:space="preserve">, and A.M. </w:t>
      </w:r>
      <w:r w:rsidRPr="007D2E18">
        <w:rPr>
          <w:rFonts w:ascii="Times New Roman" w:hAnsi="Times New Roman" w:cs="Times New Roman"/>
          <w:sz w:val="24"/>
          <w:szCs w:val="24"/>
          <w:lang w:val="en-GB"/>
        </w:rPr>
        <w:t xml:space="preserve">HERRERA </w:t>
      </w:r>
      <w:r w:rsidR="0085000C" w:rsidRPr="007D2E18">
        <w:rPr>
          <w:rFonts w:ascii="Times New Roman" w:hAnsi="Times New Roman" w:cs="Times New Roman"/>
          <w:sz w:val="24"/>
          <w:szCs w:val="24"/>
          <w:lang w:val="en-GB"/>
        </w:rPr>
        <w:t>(2011)</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Testing for the Cartel in OPEC: Non-cooperative Collusion or just Non-cooperative?</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Oxford Review of Economic Policy</w:t>
      </w:r>
      <w:r w:rsidR="0085000C" w:rsidRPr="007D2E18">
        <w:rPr>
          <w:rFonts w:ascii="Times New Roman" w:hAnsi="Times New Roman" w:cs="Times New Roman"/>
          <w:sz w:val="24"/>
          <w:szCs w:val="24"/>
          <w:lang w:val="en-GB"/>
        </w:rPr>
        <w:t xml:space="preserve"> 27</w:t>
      </w:r>
      <w:r w:rsidR="00886189"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(1)</w:t>
      </w:r>
      <w:r w:rsidR="00886189"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144-168.</w:t>
      </w:r>
    </w:p>
    <w:p w14:paraId="3E9467DF" w14:textId="32A8EDFE"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ANTONANAKIS</w:t>
      </w:r>
      <w:r w:rsidR="0085000C" w:rsidRPr="007D2E18">
        <w:rPr>
          <w:rFonts w:ascii="Times New Roman" w:hAnsi="Times New Roman" w:cs="Times New Roman"/>
          <w:sz w:val="24"/>
          <w:szCs w:val="24"/>
          <w:lang w:val="en-GB"/>
        </w:rPr>
        <w:t xml:space="preserve">, N., I. </w:t>
      </w:r>
      <w:r w:rsidRPr="007D2E18">
        <w:rPr>
          <w:rFonts w:ascii="Times New Roman" w:hAnsi="Times New Roman" w:cs="Times New Roman"/>
          <w:sz w:val="24"/>
          <w:szCs w:val="24"/>
          <w:lang w:val="en-GB"/>
        </w:rPr>
        <w:t>CHATZIANTONIOU</w:t>
      </w:r>
      <w:r w:rsidR="0085000C" w:rsidRPr="007D2E18">
        <w:rPr>
          <w:rFonts w:ascii="Times New Roman" w:hAnsi="Times New Roman" w:cs="Times New Roman"/>
          <w:sz w:val="24"/>
          <w:szCs w:val="24"/>
          <w:lang w:val="en-GB"/>
        </w:rPr>
        <w:t xml:space="preserve">, and G. </w:t>
      </w:r>
      <w:r w:rsidRPr="007D2E18">
        <w:rPr>
          <w:rFonts w:ascii="Times New Roman" w:hAnsi="Times New Roman" w:cs="Times New Roman"/>
          <w:sz w:val="24"/>
          <w:szCs w:val="24"/>
          <w:lang w:val="en-GB"/>
        </w:rPr>
        <w:t xml:space="preserve">FILIS </w:t>
      </w:r>
      <w:r w:rsidR="0085000C" w:rsidRPr="007D2E18">
        <w:rPr>
          <w:rFonts w:ascii="Times New Roman" w:hAnsi="Times New Roman" w:cs="Times New Roman"/>
          <w:sz w:val="24"/>
          <w:szCs w:val="24"/>
          <w:lang w:val="en-GB"/>
        </w:rPr>
        <w:t>(2014)</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Dynamic Spillovers of Oil Price Shocks and Economic Policy Uncertainty</w:t>
      </w:r>
      <w:r w:rsidR="00AB1A63" w:rsidRPr="007D2E18">
        <w:rPr>
          <w:rFonts w:ascii="Times New Roman" w:hAnsi="Times New Roman" w:cs="Times New Roman"/>
          <w:sz w:val="24"/>
          <w:szCs w:val="24"/>
          <w:lang w:val="en-GB"/>
        </w:rPr>
        <w:t>”</w:t>
      </w:r>
      <w:r w:rsidR="008861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Energy Economics</w:t>
      </w:r>
      <w:r w:rsidR="0085000C" w:rsidRPr="007D2E18">
        <w:rPr>
          <w:rFonts w:ascii="Times New Roman" w:hAnsi="Times New Roman" w:cs="Times New Roman"/>
          <w:sz w:val="24"/>
          <w:szCs w:val="24"/>
          <w:lang w:val="en-GB"/>
        </w:rPr>
        <w:t xml:space="preserve"> 44</w:t>
      </w:r>
      <w:r w:rsidR="00886189"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433-447.</w:t>
      </w:r>
    </w:p>
    <w:p w14:paraId="7CBC38B0" w14:textId="19EF2937"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ANTONANAKIS</w:t>
      </w:r>
      <w:r w:rsidR="0085000C" w:rsidRPr="007D2E18">
        <w:rPr>
          <w:rFonts w:ascii="Times New Roman" w:hAnsi="Times New Roman" w:cs="Times New Roman"/>
          <w:sz w:val="24"/>
          <w:szCs w:val="24"/>
          <w:lang w:val="en-GB"/>
        </w:rPr>
        <w:t xml:space="preserve">, N., R. </w:t>
      </w:r>
      <w:r w:rsidRPr="007D2E18">
        <w:rPr>
          <w:rFonts w:ascii="Times New Roman" w:hAnsi="Times New Roman" w:cs="Times New Roman"/>
          <w:sz w:val="24"/>
          <w:szCs w:val="24"/>
          <w:lang w:val="en-GB"/>
        </w:rPr>
        <w:t>GUPTA</w:t>
      </w:r>
      <w:r w:rsidR="0085000C" w:rsidRPr="007D2E18">
        <w:rPr>
          <w:rFonts w:ascii="Times New Roman" w:hAnsi="Times New Roman" w:cs="Times New Roman"/>
          <w:sz w:val="24"/>
          <w:szCs w:val="24"/>
          <w:lang w:val="en-GB"/>
        </w:rPr>
        <w:t xml:space="preserve">, C. </w:t>
      </w:r>
      <w:r w:rsidRPr="007D2E18">
        <w:rPr>
          <w:rFonts w:ascii="Times New Roman" w:hAnsi="Times New Roman" w:cs="Times New Roman"/>
          <w:sz w:val="24"/>
          <w:szCs w:val="24"/>
          <w:lang w:val="en-GB"/>
        </w:rPr>
        <w:t>KOLLIAS</w:t>
      </w:r>
      <w:r w:rsidR="0085000C" w:rsidRPr="007D2E18">
        <w:rPr>
          <w:rFonts w:ascii="Times New Roman" w:hAnsi="Times New Roman" w:cs="Times New Roman"/>
          <w:sz w:val="24"/>
          <w:szCs w:val="24"/>
          <w:lang w:val="en-GB"/>
        </w:rPr>
        <w:t xml:space="preserve">, and S. </w:t>
      </w:r>
      <w:r w:rsidRPr="007D2E18">
        <w:rPr>
          <w:rFonts w:ascii="Times New Roman" w:hAnsi="Times New Roman" w:cs="Times New Roman"/>
          <w:sz w:val="24"/>
          <w:szCs w:val="24"/>
          <w:lang w:val="en-GB"/>
        </w:rPr>
        <w:t xml:space="preserve">PAPADAMOU </w:t>
      </w:r>
      <w:r w:rsidR="0085000C" w:rsidRPr="007D2E18">
        <w:rPr>
          <w:rFonts w:ascii="Times New Roman" w:hAnsi="Times New Roman" w:cs="Times New Roman"/>
          <w:sz w:val="24"/>
          <w:szCs w:val="24"/>
          <w:lang w:val="en-GB"/>
        </w:rPr>
        <w:t>(2017)</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Geopolitical Risks and the Oil-stock Nexus over 1899-2016</w:t>
      </w:r>
      <w:r w:rsidR="00AB1A63" w:rsidRPr="007D2E18">
        <w:rPr>
          <w:rFonts w:ascii="Times New Roman" w:hAnsi="Times New Roman" w:cs="Times New Roman"/>
          <w:sz w:val="24"/>
          <w:szCs w:val="24"/>
          <w:lang w:val="en-GB"/>
        </w:rPr>
        <w:t>”</w:t>
      </w:r>
      <w:r w:rsidR="008861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Finance Research Letters</w:t>
      </w:r>
      <w:r w:rsidR="0085000C" w:rsidRPr="007D2E18">
        <w:rPr>
          <w:rFonts w:ascii="Times New Roman" w:hAnsi="Times New Roman" w:cs="Times New Roman"/>
          <w:sz w:val="24"/>
          <w:szCs w:val="24"/>
          <w:lang w:val="en-GB"/>
        </w:rPr>
        <w:t xml:space="preserve"> 23</w:t>
      </w:r>
      <w:r w:rsidR="00886189"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165-173.</w:t>
      </w:r>
    </w:p>
    <w:p w14:paraId="5BD7BC69" w14:textId="220CCED5"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APERJIS</w:t>
      </w:r>
      <w:r w:rsidR="0085000C" w:rsidRPr="007D2E18">
        <w:rPr>
          <w:rFonts w:ascii="Times New Roman" w:hAnsi="Times New Roman" w:cs="Times New Roman"/>
          <w:sz w:val="24"/>
          <w:szCs w:val="24"/>
          <w:lang w:val="en-GB"/>
        </w:rPr>
        <w:t>, D. (1982)</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The Oil Market in the 1980s, OPEC Oil Policy and Economic Development</w:t>
      </w:r>
      <w:r w:rsidR="0085000C" w:rsidRPr="007D2E18">
        <w:rPr>
          <w:rFonts w:ascii="Times New Roman" w:hAnsi="Times New Roman" w:cs="Times New Roman"/>
          <w:sz w:val="24"/>
          <w:szCs w:val="24"/>
          <w:lang w:val="en-GB"/>
        </w:rPr>
        <w:t>, Ballinger Publishing Co., Cambridge, MA, US.</w:t>
      </w:r>
    </w:p>
    <w:p w14:paraId="171597C9" w14:textId="202E7316"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ATTALLAH</w:t>
      </w:r>
      <w:r w:rsidR="0085000C" w:rsidRPr="007D2E18">
        <w:rPr>
          <w:rFonts w:ascii="Times New Roman" w:hAnsi="Times New Roman" w:cs="Times New Roman"/>
          <w:sz w:val="24"/>
          <w:szCs w:val="24"/>
          <w:lang w:val="en-GB"/>
        </w:rPr>
        <w:t xml:space="preserve">, T., F. </w:t>
      </w:r>
      <w:r w:rsidRPr="007D2E18">
        <w:rPr>
          <w:rFonts w:ascii="Times New Roman" w:hAnsi="Times New Roman" w:cs="Times New Roman"/>
          <w:sz w:val="24"/>
          <w:szCs w:val="24"/>
          <w:lang w:val="en-GB"/>
        </w:rPr>
        <w:t>JOUTZ</w:t>
      </w:r>
      <w:r w:rsidR="0085000C" w:rsidRPr="007D2E18">
        <w:rPr>
          <w:rFonts w:ascii="Times New Roman" w:hAnsi="Times New Roman" w:cs="Times New Roman"/>
          <w:sz w:val="24"/>
          <w:szCs w:val="24"/>
          <w:lang w:val="en-GB"/>
        </w:rPr>
        <w:t xml:space="preserve">, and A. </w:t>
      </w:r>
      <w:r w:rsidRPr="007D2E18">
        <w:rPr>
          <w:rFonts w:ascii="Times New Roman" w:hAnsi="Times New Roman" w:cs="Times New Roman"/>
          <w:sz w:val="24"/>
          <w:szCs w:val="24"/>
          <w:lang w:val="en-GB"/>
        </w:rPr>
        <w:t xml:space="preserve">PIERRU </w:t>
      </w:r>
      <w:r w:rsidR="0085000C" w:rsidRPr="007D2E18">
        <w:rPr>
          <w:rFonts w:ascii="Times New Roman" w:hAnsi="Times New Roman" w:cs="Times New Roman"/>
          <w:sz w:val="24"/>
          <w:szCs w:val="24"/>
          <w:lang w:val="en-GB"/>
        </w:rPr>
        <w:t>(2013)</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i/>
          <w:iCs/>
          <w:sz w:val="24"/>
          <w:szCs w:val="24"/>
          <w:lang w:val="en-GB"/>
        </w:rPr>
        <w:t>Does Disagreement Among Oil Price Forecasters Reflect Future Volatility? Evidence from the ECB Surveys</w:t>
      </w:r>
      <w:r w:rsidR="00AB1A63" w:rsidRPr="007D2E18">
        <w:rPr>
          <w:rFonts w:ascii="Times New Roman" w:hAnsi="Times New Roman" w:cs="Times New Roman"/>
          <w:sz w:val="24"/>
          <w:szCs w:val="24"/>
          <w:lang w:val="en-GB"/>
        </w:rPr>
        <w:t>”</w:t>
      </w:r>
      <w:r w:rsidR="008F4D10"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presentation prepared for Research Program on Forecasting Brown Bag Seminar, Department of Economics, George Washington University, 6 March, 2013.</w:t>
      </w:r>
    </w:p>
    <w:p w14:paraId="2DD628CD" w14:textId="512D280D"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BACHMANN</w:t>
      </w:r>
      <w:r w:rsidR="0085000C" w:rsidRPr="007D2E18">
        <w:rPr>
          <w:rFonts w:ascii="Times New Roman" w:hAnsi="Times New Roman" w:cs="Times New Roman"/>
          <w:sz w:val="24"/>
          <w:szCs w:val="24"/>
          <w:lang w:val="en-GB"/>
        </w:rPr>
        <w:t xml:space="preserve">, R., </w:t>
      </w:r>
      <w:r w:rsidRPr="007D2E18">
        <w:rPr>
          <w:rFonts w:ascii="Times New Roman" w:hAnsi="Times New Roman" w:cs="Times New Roman"/>
          <w:sz w:val="24"/>
          <w:szCs w:val="24"/>
          <w:lang w:val="en-GB"/>
        </w:rPr>
        <w:t>ELSTNER</w:t>
      </w:r>
      <w:r w:rsidR="0085000C" w:rsidRPr="007D2E18">
        <w:rPr>
          <w:rFonts w:ascii="Times New Roman" w:hAnsi="Times New Roman" w:cs="Times New Roman"/>
          <w:sz w:val="24"/>
          <w:szCs w:val="24"/>
          <w:lang w:val="en-GB"/>
        </w:rPr>
        <w:t xml:space="preserve">, S. and E. </w:t>
      </w:r>
      <w:r w:rsidRPr="007D2E18">
        <w:rPr>
          <w:rFonts w:ascii="Times New Roman" w:hAnsi="Times New Roman" w:cs="Times New Roman"/>
          <w:sz w:val="24"/>
          <w:szCs w:val="24"/>
          <w:lang w:val="en-GB"/>
        </w:rPr>
        <w:t xml:space="preserve">SIMS </w:t>
      </w:r>
      <w:r w:rsidR="0085000C" w:rsidRPr="007D2E18">
        <w:rPr>
          <w:rFonts w:ascii="Times New Roman" w:hAnsi="Times New Roman" w:cs="Times New Roman"/>
          <w:sz w:val="24"/>
          <w:szCs w:val="24"/>
          <w:lang w:val="en-GB"/>
        </w:rPr>
        <w:t>(2013)</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Uncertainty and Economic Activity: Evidence from Business Survey Data,</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American Economic Journal: Macroeconomics</w:t>
      </w:r>
      <w:r w:rsidR="0085000C" w:rsidRPr="007D2E18">
        <w:rPr>
          <w:rFonts w:ascii="Times New Roman" w:hAnsi="Times New Roman" w:cs="Times New Roman"/>
          <w:sz w:val="24"/>
          <w:szCs w:val="24"/>
          <w:lang w:val="en-GB"/>
        </w:rPr>
        <w:t xml:space="preserve"> 5</w:t>
      </w:r>
      <w:r w:rsidR="00886189"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(2)</w:t>
      </w:r>
      <w:r w:rsidR="00886189"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217-249.</w:t>
      </w:r>
    </w:p>
    <w:p w14:paraId="33E4DC5C" w14:textId="7034026E"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BALCILAR</w:t>
      </w:r>
      <w:r w:rsidR="0085000C" w:rsidRPr="007D2E18">
        <w:rPr>
          <w:rFonts w:ascii="Times New Roman" w:hAnsi="Times New Roman" w:cs="Times New Roman"/>
          <w:sz w:val="24"/>
          <w:szCs w:val="24"/>
          <w:lang w:val="en-GB"/>
        </w:rPr>
        <w:t xml:space="preserve">, M., R. </w:t>
      </w:r>
      <w:r w:rsidRPr="007D2E18">
        <w:rPr>
          <w:rFonts w:ascii="Times New Roman" w:hAnsi="Times New Roman" w:cs="Times New Roman"/>
          <w:sz w:val="24"/>
          <w:szCs w:val="24"/>
          <w:lang w:val="en-GB"/>
        </w:rPr>
        <w:t>GUPTA</w:t>
      </w:r>
      <w:r w:rsidR="0085000C" w:rsidRPr="007D2E18">
        <w:rPr>
          <w:rFonts w:ascii="Times New Roman" w:hAnsi="Times New Roman" w:cs="Times New Roman"/>
          <w:sz w:val="24"/>
          <w:szCs w:val="24"/>
          <w:lang w:val="en-GB"/>
        </w:rPr>
        <w:t xml:space="preserve">, and S.M. </w:t>
      </w:r>
      <w:r w:rsidRPr="007D2E18">
        <w:rPr>
          <w:rFonts w:ascii="Times New Roman" w:hAnsi="Times New Roman" w:cs="Times New Roman"/>
          <w:sz w:val="24"/>
          <w:szCs w:val="24"/>
          <w:lang w:val="en-GB"/>
        </w:rPr>
        <w:t xml:space="preserve">MILLER </w:t>
      </w:r>
      <w:r w:rsidR="0085000C" w:rsidRPr="007D2E18">
        <w:rPr>
          <w:rFonts w:ascii="Times New Roman" w:hAnsi="Times New Roman" w:cs="Times New Roman"/>
          <w:sz w:val="24"/>
          <w:szCs w:val="24"/>
          <w:lang w:val="en-GB"/>
        </w:rPr>
        <w:t>(2015)</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Regime Switching Model of US Crude Oil and Stock Market Prices: 1859 to 2013,</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Energy Economics</w:t>
      </w:r>
      <w:r w:rsidR="0085000C" w:rsidRPr="007D2E18">
        <w:rPr>
          <w:rFonts w:ascii="Times New Roman" w:hAnsi="Times New Roman" w:cs="Times New Roman"/>
          <w:sz w:val="24"/>
          <w:szCs w:val="24"/>
          <w:lang w:val="en-GB"/>
        </w:rPr>
        <w:t xml:space="preserve"> 49</w:t>
      </w:r>
      <w:r w:rsidR="00886189"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(1)</w:t>
      </w:r>
      <w:r w:rsidR="00886189"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317-327.</w:t>
      </w:r>
    </w:p>
    <w:p w14:paraId="45571534" w14:textId="548CDB8E"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lastRenderedPageBreak/>
        <w:t>BAKER</w:t>
      </w:r>
      <w:r w:rsidR="0085000C" w:rsidRPr="007D2E18">
        <w:rPr>
          <w:rFonts w:ascii="Times New Roman" w:hAnsi="Times New Roman" w:cs="Times New Roman"/>
          <w:sz w:val="24"/>
          <w:szCs w:val="24"/>
          <w:lang w:val="en-GB"/>
        </w:rPr>
        <w:t xml:space="preserve">, S.R., N. </w:t>
      </w:r>
      <w:r w:rsidRPr="007D2E18">
        <w:rPr>
          <w:rFonts w:ascii="Times New Roman" w:hAnsi="Times New Roman" w:cs="Times New Roman"/>
          <w:sz w:val="24"/>
          <w:szCs w:val="24"/>
          <w:lang w:val="en-GB"/>
        </w:rPr>
        <w:t>BLOOM</w:t>
      </w:r>
      <w:r w:rsidR="0085000C" w:rsidRPr="007D2E18">
        <w:rPr>
          <w:rFonts w:ascii="Times New Roman" w:hAnsi="Times New Roman" w:cs="Times New Roman"/>
          <w:sz w:val="24"/>
          <w:szCs w:val="24"/>
          <w:lang w:val="en-GB"/>
        </w:rPr>
        <w:t xml:space="preserve">, and S.J. </w:t>
      </w:r>
      <w:r w:rsidRPr="007D2E18">
        <w:rPr>
          <w:rFonts w:ascii="Times New Roman" w:hAnsi="Times New Roman" w:cs="Times New Roman"/>
          <w:sz w:val="24"/>
          <w:szCs w:val="24"/>
          <w:lang w:val="en-GB"/>
        </w:rPr>
        <w:t xml:space="preserve">DAVIS </w:t>
      </w:r>
      <w:r w:rsidR="0085000C" w:rsidRPr="007D2E18">
        <w:rPr>
          <w:rFonts w:ascii="Times New Roman" w:hAnsi="Times New Roman" w:cs="Times New Roman"/>
          <w:sz w:val="24"/>
          <w:szCs w:val="24"/>
          <w:lang w:val="en-GB"/>
        </w:rPr>
        <w:t>(2016)</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Measuring Economic Policy Uncertainty</w:t>
      </w:r>
      <w:r w:rsidR="00AB1A63" w:rsidRPr="007D2E18">
        <w:rPr>
          <w:rFonts w:ascii="Times New Roman" w:hAnsi="Times New Roman" w:cs="Times New Roman"/>
          <w:sz w:val="24"/>
          <w:szCs w:val="24"/>
          <w:lang w:val="en-GB"/>
        </w:rPr>
        <w:t>”</w:t>
      </w:r>
      <w:r w:rsidR="008861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Quarterly Journal of Economics</w:t>
      </w:r>
      <w:r w:rsidR="0085000C" w:rsidRPr="007D2E18">
        <w:rPr>
          <w:rFonts w:ascii="Times New Roman" w:hAnsi="Times New Roman" w:cs="Times New Roman"/>
          <w:sz w:val="24"/>
          <w:szCs w:val="24"/>
          <w:lang w:val="en-GB"/>
        </w:rPr>
        <w:t xml:space="preserve"> 131</w:t>
      </w:r>
      <w:r w:rsidR="00886189"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(4)</w:t>
      </w:r>
      <w:r w:rsidR="00886189"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1593-1636.</w:t>
      </w:r>
    </w:p>
    <w:p w14:paraId="73FFB206" w14:textId="2CA66BA6"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BARRETT</w:t>
      </w:r>
      <w:r w:rsidR="0085000C" w:rsidRPr="007D2E18">
        <w:rPr>
          <w:rFonts w:ascii="Times New Roman" w:hAnsi="Times New Roman" w:cs="Times New Roman"/>
          <w:sz w:val="24"/>
          <w:szCs w:val="24"/>
          <w:lang w:val="en-GB"/>
        </w:rPr>
        <w:t xml:space="preserve">, A.B. and L. </w:t>
      </w:r>
      <w:r w:rsidRPr="007D2E18">
        <w:rPr>
          <w:rFonts w:ascii="Times New Roman" w:hAnsi="Times New Roman" w:cs="Times New Roman"/>
          <w:sz w:val="24"/>
          <w:szCs w:val="24"/>
          <w:lang w:val="en-GB"/>
        </w:rPr>
        <w:t xml:space="preserve">BARNETT </w:t>
      </w:r>
      <w:r w:rsidR="0085000C" w:rsidRPr="007D2E18">
        <w:rPr>
          <w:rFonts w:ascii="Times New Roman" w:hAnsi="Times New Roman" w:cs="Times New Roman"/>
          <w:sz w:val="24"/>
          <w:szCs w:val="24"/>
          <w:lang w:val="en-GB"/>
        </w:rPr>
        <w:t>(2013)</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Granger Causality is Designed to Measure Effect, Not Mechanism</w:t>
      </w:r>
      <w:r w:rsidR="00AB1A63" w:rsidRPr="007D2E18">
        <w:rPr>
          <w:rFonts w:ascii="Times New Roman" w:hAnsi="Times New Roman" w:cs="Times New Roman"/>
          <w:sz w:val="24"/>
          <w:szCs w:val="24"/>
          <w:lang w:val="en-GB"/>
        </w:rPr>
        <w:t>”</w:t>
      </w:r>
      <w:r w:rsidR="008861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Frontiers in Neuroinformatics</w:t>
      </w:r>
      <w:r w:rsidR="0085000C" w:rsidRPr="007D2E18">
        <w:rPr>
          <w:rFonts w:ascii="Times New Roman" w:hAnsi="Times New Roman" w:cs="Times New Roman"/>
          <w:sz w:val="24"/>
          <w:szCs w:val="24"/>
          <w:lang w:val="en-GB"/>
        </w:rPr>
        <w:t xml:space="preserve"> 7</w:t>
      </w:r>
      <w:r w:rsidR="008861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Article 6.</w:t>
      </w:r>
    </w:p>
    <w:p w14:paraId="03D3CBB2" w14:textId="7F48D010"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BEKIROS</w:t>
      </w:r>
      <w:r w:rsidR="0085000C" w:rsidRPr="007D2E18">
        <w:rPr>
          <w:rFonts w:ascii="Times New Roman" w:hAnsi="Times New Roman" w:cs="Times New Roman"/>
          <w:sz w:val="24"/>
          <w:szCs w:val="24"/>
          <w:lang w:val="en-GB"/>
        </w:rPr>
        <w:t xml:space="preserve">, S., R. </w:t>
      </w:r>
      <w:r w:rsidRPr="007D2E18">
        <w:rPr>
          <w:rFonts w:ascii="Times New Roman" w:hAnsi="Times New Roman" w:cs="Times New Roman"/>
          <w:sz w:val="24"/>
          <w:szCs w:val="24"/>
          <w:lang w:val="en-GB"/>
        </w:rPr>
        <w:t>GUPTA</w:t>
      </w:r>
      <w:r w:rsidR="0085000C" w:rsidRPr="007D2E18">
        <w:rPr>
          <w:rFonts w:ascii="Times New Roman" w:hAnsi="Times New Roman" w:cs="Times New Roman"/>
          <w:sz w:val="24"/>
          <w:szCs w:val="24"/>
          <w:lang w:val="en-GB"/>
        </w:rPr>
        <w:t xml:space="preserve">, and A. </w:t>
      </w:r>
      <w:r w:rsidRPr="007D2E18">
        <w:rPr>
          <w:rFonts w:ascii="Times New Roman" w:hAnsi="Times New Roman" w:cs="Times New Roman"/>
          <w:sz w:val="24"/>
          <w:szCs w:val="24"/>
          <w:lang w:val="en-GB"/>
        </w:rPr>
        <w:t xml:space="preserve">PACCAGNINI </w:t>
      </w:r>
      <w:r w:rsidR="0085000C" w:rsidRPr="007D2E18">
        <w:rPr>
          <w:rFonts w:ascii="Times New Roman" w:hAnsi="Times New Roman" w:cs="Times New Roman"/>
          <w:sz w:val="24"/>
          <w:szCs w:val="24"/>
          <w:lang w:val="en-GB"/>
        </w:rPr>
        <w:t>(2015)</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Oil Price Forecastability and Economic Uncertainty</w:t>
      </w:r>
      <w:r w:rsidR="00AB1A63" w:rsidRPr="007D2E18">
        <w:rPr>
          <w:rFonts w:ascii="Times New Roman" w:hAnsi="Times New Roman" w:cs="Times New Roman"/>
          <w:sz w:val="24"/>
          <w:szCs w:val="24"/>
          <w:lang w:val="en-GB"/>
        </w:rPr>
        <w:t>”</w:t>
      </w:r>
      <w:r w:rsidR="008861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Economic Letters</w:t>
      </w:r>
      <w:r w:rsidR="0085000C" w:rsidRPr="007D2E18">
        <w:rPr>
          <w:rFonts w:ascii="Times New Roman" w:hAnsi="Times New Roman" w:cs="Times New Roman"/>
          <w:sz w:val="24"/>
          <w:szCs w:val="24"/>
          <w:lang w:val="en-GB"/>
        </w:rPr>
        <w:t xml:space="preserve"> 132</w:t>
      </w:r>
      <w:r w:rsidR="00886189"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125-128.</w:t>
      </w:r>
    </w:p>
    <w:p w14:paraId="6CA65350" w14:textId="10BDACBB"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BHOLAT</w:t>
      </w:r>
      <w:r w:rsidR="0085000C" w:rsidRPr="007D2E18">
        <w:rPr>
          <w:rFonts w:ascii="Times New Roman" w:hAnsi="Times New Roman" w:cs="Times New Roman"/>
          <w:sz w:val="24"/>
          <w:szCs w:val="24"/>
          <w:lang w:val="en-GB"/>
        </w:rPr>
        <w:t xml:space="preserve">, D., S. </w:t>
      </w:r>
      <w:r w:rsidRPr="007D2E18">
        <w:rPr>
          <w:rFonts w:ascii="Times New Roman" w:hAnsi="Times New Roman" w:cs="Times New Roman"/>
          <w:sz w:val="24"/>
          <w:szCs w:val="24"/>
          <w:lang w:val="en-GB"/>
        </w:rPr>
        <w:t>HANSEN</w:t>
      </w:r>
      <w:r w:rsidR="0085000C" w:rsidRPr="007D2E18">
        <w:rPr>
          <w:rFonts w:ascii="Times New Roman" w:hAnsi="Times New Roman" w:cs="Times New Roman"/>
          <w:sz w:val="24"/>
          <w:szCs w:val="24"/>
          <w:lang w:val="en-GB"/>
        </w:rPr>
        <w:t xml:space="preserve">, P. </w:t>
      </w:r>
      <w:r w:rsidRPr="007D2E18">
        <w:rPr>
          <w:rFonts w:ascii="Times New Roman" w:hAnsi="Times New Roman" w:cs="Times New Roman"/>
          <w:sz w:val="24"/>
          <w:szCs w:val="24"/>
          <w:lang w:val="en-GB"/>
        </w:rPr>
        <w:t>SANTOS</w:t>
      </w:r>
      <w:r w:rsidR="0085000C" w:rsidRPr="007D2E18">
        <w:rPr>
          <w:rFonts w:ascii="Times New Roman" w:hAnsi="Times New Roman" w:cs="Times New Roman"/>
          <w:sz w:val="24"/>
          <w:szCs w:val="24"/>
          <w:lang w:val="en-GB"/>
        </w:rPr>
        <w:t xml:space="preserve">, and C. </w:t>
      </w:r>
      <w:r w:rsidRPr="007D2E18">
        <w:rPr>
          <w:rFonts w:ascii="Times New Roman" w:hAnsi="Times New Roman" w:cs="Times New Roman"/>
          <w:sz w:val="24"/>
          <w:szCs w:val="24"/>
          <w:lang w:val="en-GB"/>
        </w:rPr>
        <w:t xml:space="preserve">SCHONHARDT-BAILEY </w:t>
      </w:r>
      <w:r w:rsidR="0085000C" w:rsidRPr="007D2E18">
        <w:rPr>
          <w:rFonts w:ascii="Times New Roman" w:hAnsi="Times New Roman" w:cs="Times New Roman"/>
          <w:sz w:val="24"/>
          <w:szCs w:val="24"/>
          <w:lang w:val="en-GB"/>
        </w:rPr>
        <w:t>(2015)</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F4D10" w:rsidRPr="007D2E18">
        <w:rPr>
          <w:rFonts w:ascii="Times New Roman" w:hAnsi="Times New Roman" w:cs="Times New Roman"/>
          <w:sz w:val="24"/>
          <w:szCs w:val="24"/>
          <w:lang w:val="en-GB"/>
        </w:rPr>
        <w:t>“</w:t>
      </w:r>
      <w:r w:rsidR="0085000C" w:rsidRPr="007D2E18">
        <w:rPr>
          <w:rFonts w:ascii="Times New Roman" w:hAnsi="Times New Roman" w:cs="Times New Roman"/>
          <w:i/>
          <w:iCs/>
          <w:sz w:val="24"/>
          <w:szCs w:val="24"/>
          <w:lang w:val="en-GB"/>
        </w:rPr>
        <w:t>Text Mining for Central Banks</w:t>
      </w:r>
      <w:r w:rsidR="008F4D10"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Centre for Central Banking Studies, Bank of England.</w:t>
      </w:r>
    </w:p>
    <w:p w14:paraId="24ED69DF" w14:textId="18CC0417" w:rsidR="0085000C" w:rsidRPr="007D2E18" w:rsidRDefault="00AF71F7" w:rsidP="00234EC8">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BLOOM</w:t>
      </w:r>
      <w:r w:rsidR="0085000C" w:rsidRPr="007D2E18">
        <w:rPr>
          <w:rFonts w:ascii="Times New Roman" w:hAnsi="Times New Roman" w:cs="Times New Roman"/>
          <w:sz w:val="24"/>
          <w:szCs w:val="24"/>
          <w:lang w:val="en-GB"/>
        </w:rPr>
        <w:t>, N. (2009)</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The Impact of Uncertainty Shocks</w:t>
      </w:r>
      <w:r w:rsidR="00AB1A63" w:rsidRPr="007D2E18">
        <w:rPr>
          <w:rFonts w:ascii="Times New Roman" w:hAnsi="Times New Roman" w:cs="Times New Roman"/>
          <w:sz w:val="24"/>
          <w:szCs w:val="24"/>
          <w:lang w:val="en-GB"/>
        </w:rPr>
        <w:t>”</w:t>
      </w:r>
      <w:r w:rsidR="008861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Econometrica</w:t>
      </w:r>
      <w:r w:rsidR="0085000C" w:rsidRPr="007D2E18">
        <w:rPr>
          <w:rFonts w:ascii="Times New Roman" w:hAnsi="Times New Roman" w:cs="Times New Roman"/>
          <w:sz w:val="24"/>
          <w:szCs w:val="24"/>
          <w:lang w:val="en-GB"/>
        </w:rPr>
        <w:t xml:space="preserve"> 77</w:t>
      </w:r>
      <w:r w:rsidR="00886189"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(3)</w:t>
      </w:r>
      <w:r w:rsidR="00886189"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623-685.</w:t>
      </w:r>
    </w:p>
    <w:p w14:paraId="14159A37" w14:textId="08848972"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BOWLES</w:t>
      </w:r>
      <w:r w:rsidR="0085000C" w:rsidRPr="007D2E18">
        <w:rPr>
          <w:rFonts w:ascii="Times New Roman" w:hAnsi="Times New Roman" w:cs="Times New Roman"/>
          <w:sz w:val="24"/>
          <w:szCs w:val="24"/>
          <w:lang w:val="en-GB"/>
        </w:rPr>
        <w:t xml:space="preserve">, C., R. </w:t>
      </w:r>
      <w:r w:rsidRPr="007D2E18">
        <w:rPr>
          <w:rFonts w:ascii="Times New Roman" w:hAnsi="Times New Roman" w:cs="Times New Roman"/>
          <w:sz w:val="24"/>
          <w:szCs w:val="24"/>
          <w:lang w:val="en-GB"/>
        </w:rPr>
        <w:t>FRIZ</w:t>
      </w:r>
      <w:r w:rsidR="0085000C" w:rsidRPr="007D2E18">
        <w:rPr>
          <w:rFonts w:ascii="Times New Roman" w:hAnsi="Times New Roman" w:cs="Times New Roman"/>
          <w:sz w:val="24"/>
          <w:szCs w:val="24"/>
          <w:lang w:val="en-GB"/>
        </w:rPr>
        <w:t xml:space="preserve">, V. </w:t>
      </w:r>
      <w:r w:rsidRPr="007D2E18">
        <w:rPr>
          <w:rFonts w:ascii="Times New Roman" w:hAnsi="Times New Roman" w:cs="Times New Roman"/>
          <w:sz w:val="24"/>
          <w:szCs w:val="24"/>
          <w:lang w:val="en-GB"/>
        </w:rPr>
        <w:t>GENRE</w:t>
      </w:r>
      <w:r w:rsidR="0085000C" w:rsidRPr="007D2E18">
        <w:rPr>
          <w:rFonts w:ascii="Times New Roman" w:hAnsi="Times New Roman" w:cs="Times New Roman"/>
          <w:sz w:val="24"/>
          <w:szCs w:val="24"/>
          <w:lang w:val="en-GB"/>
        </w:rPr>
        <w:t xml:space="preserve">, G. </w:t>
      </w:r>
      <w:r w:rsidRPr="007D2E18">
        <w:rPr>
          <w:rFonts w:ascii="Times New Roman" w:hAnsi="Times New Roman" w:cs="Times New Roman"/>
          <w:sz w:val="24"/>
          <w:szCs w:val="24"/>
          <w:lang w:val="en-GB"/>
        </w:rPr>
        <w:t>KENNY</w:t>
      </w:r>
      <w:r w:rsidR="0085000C" w:rsidRPr="007D2E18">
        <w:rPr>
          <w:rFonts w:ascii="Times New Roman" w:hAnsi="Times New Roman" w:cs="Times New Roman"/>
          <w:sz w:val="24"/>
          <w:szCs w:val="24"/>
          <w:lang w:val="en-GB"/>
        </w:rPr>
        <w:t xml:space="preserve">, A. </w:t>
      </w:r>
      <w:r w:rsidRPr="007D2E18">
        <w:rPr>
          <w:rFonts w:ascii="Times New Roman" w:hAnsi="Times New Roman" w:cs="Times New Roman"/>
          <w:sz w:val="24"/>
          <w:szCs w:val="24"/>
          <w:lang w:val="en-GB"/>
        </w:rPr>
        <w:t>MEYLER</w:t>
      </w:r>
      <w:r w:rsidR="0085000C" w:rsidRPr="007D2E18">
        <w:rPr>
          <w:rFonts w:ascii="Times New Roman" w:hAnsi="Times New Roman" w:cs="Times New Roman"/>
          <w:sz w:val="24"/>
          <w:szCs w:val="24"/>
          <w:lang w:val="en-GB"/>
        </w:rPr>
        <w:t xml:space="preserve">, and T. </w:t>
      </w:r>
      <w:r w:rsidRPr="007D2E18">
        <w:rPr>
          <w:rFonts w:ascii="Times New Roman" w:hAnsi="Times New Roman" w:cs="Times New Roman"/>
          <w:sz w:val="24"/>
          <w:szCs w:val="24"/>
          <w:lang w:val="en-GB"/>
        </w:rPr>
        <w:t xml:space="preserve">RAUTANEN </w:t>
      </w:r>
      <w:r w:rsidR="0085000C" w:rsidRPr="007D2E18">
        <w:rPr>
          <w:rFonts w:ascii="Times New Roman" w:hAnsi="Times New Roman" w:cs="Times New Roman"/>
          <w:sz w:val="24"/>
          <w:szCs w:val="24"/>
          <w:lang w:val="en-GB"/>
        </w:rPr>
        <w:t>(2007)</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i/>
          <w:iCs/>
          <w:sz w:val="24"/>
          <w:szCs w:val="24"/>
          <w:lang w:val="en-GB"/>
        </w:rPr>
        <w:t>The ECB Survey of Prefessional Forecasters: A Review after Eight Years Experience</w:t>
      </w:r>
      <w:r w:rsidR="00AB1A63" w:rsidRPr="007D2E18">
        <w:rPr>
          <w:rFonts w:ascii="Times New Roman" w:hAnsi="Times New Roman" w:cs="Times New Roman"/>
          <w:sz w:val="24"/>
          <w:szCs w:val="24"/>
          <w:lang w:val="en-GB"/>
        </w:rPr>
        <w:t>”</w:t>
      </w:r>
      <w:r w:rsidR="008F4D10"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Occasional Paper 58, European Central Bank.</w:t>
      </w:r>
    </w:p>
    <w:p w14:paraId="1EFA30E2" w14:textId="4DAD9EB3"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BRÉMOND</w:t>
      </w:r>
      <w:r w:rsidR="0085000C" w:rsidRPr="007D2E18">
        <w:rPr>
          <w:rFonts w:ascii="Times New Roman" w:hAnsi="Times New Roman" w:cs="Times New Roman"/>
          <w:sz w:val="24"/>
          <w:szCs w:val="24"/>
          <w:lang w:val="en-GB"/>
        </w:rPr>
        <w:t xml:space="preserve">, V., E. </w:t>
      </w:r>
      <w:r w:rsidRPr="007D2E18">
        <w:rPr>
          <w:rFonts w:ascii="Times New Roman" w:hAnsi="Times New Roman" w:cs="Times New Roman"/>
          <w:sz w:val="24"/>
          <w:szCs w:val="24"/>
          <w:lang w:val="en-GB"/>
        </w:rPr>
        <w:t>HACHE</w:t>
      </w:r>
      <w:r w:rsidR="0085000C" w:rsidRPr="007D2E18">
        <w:rPr>
          <w:rFonts w:ascii="Times New Roman" w:hAnsi="Times New Roman" w:cs="Times New Roman"/>
          <w:sz w:val="24"/>
          <w:szCs w:val="24"/>
          <w:lang w:val="en-GB"/>
        </w:rPr>
        <w:t xml:space="preserve">, and V. </w:t>
      </w:r>
      <w:r w:rsidRPr="007D2E18">
        <w:rPr>
          <w:rFonts w:ascii="Times New Roman" w:hAnsi="Times New Roman" w:cs="Times New Roman"/>
          <w:sz w:val="24"/>
          <w:szCs w:val="24"/>
          <w:lang w:val="en-GB"/>
        </w:rPr>
        <w:t xml:space="preserve">MIGNON </w:t>
      </w:r>
      <w:r w:rsidR="0085000C" w:rsidRPr="007D2E18">
        <w:rPr>
          <w:rFonts w:ascii="Times New Roman" w:hAnsi="Times New Roman" w:cs="Times New Roman"/>
          <w:sz w:val="24"/>
          <w:szCs w:val="24"/>
          <w:lang w:val="en-GB"/>
        </w:rPr>
        <w:t>(2012)</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Does OPEC Still Exists as a Cartel? An Empirical Investigation</w:t>
      </w:r>
      <w:r w:rsidR="00AB1A63" w:rsidRPr="007D2E18">
        <w:rPr>
          <w:rFonts w:ascii="Times New Roman" w:hAnsi="Times New Roman" w:cs="Times New Roman"/>
          <w:sz w:val="24"/>
          <w:szCs w:val="24"/>
          <w:lang w:val="en-GB"/>
        </w:rPr>
        <w:t>”</w:t>
      </w:r>
      <w:r w:rsidR="008861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Energy Economics</w:t>
      </w:r>
      <w:r w:rsidR="0085000C" w:rsidRPr="007D2E18">
        <w:rPr>
          <w:rFonts w:ascii="Times New Roman" w:hAnsi="Times New Roman" w:cs="Times New Roman"/>
          <w:sz w:val="24"/>
          <w:szCs w:val="24"/>
          <w:lang w:val="en-GB"/>
        </w:rPr>
        <w:t xml:space="preserve"> 34</w:t>
      </w:r>
      <w:r w:rsidR="00886189"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(1)</w:t>
      </w:r>
      <w:r w:rsidR="00886189"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125-131.</w:t>
      </w:r>
    </w:p>
    <w:p w14:paraId="4FE20151" w14:textId="28D5D128"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BREUSCH</w:t>
      </w:r>
      <w:r w:rsidR="0085000C" w:rsidRPr="007D2E18">
        <w:rPr>
          <w:rFonts w:ascii="Times New Roman" w:hAnsi="Times New Roman" w:cs="Times New Roman"/>
          <w:sz w:val="24"/>
          <w:szCs w:val="24"/>
          <w:lang w:val="en-GB"/>
        </w:rPr>
        <w:t>, T.S. (1978)</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“T</w:t>
      </w:r>
      <w:r w:rsidR="0085000C" w:rsidRPr="007D2E18">
        <w:rPr>
          <w:rFonts w:ascii="Times New Roman" w:hAnsi="Times New Roman" w:cs="Times New Roman"/>
          <w:sz w:val="24"/>
          <w:szCs w:val="24"/>
          <w:lang w:val="en-GB"/>
        </w:rPr>
        <w:t>esting for Autocorrelation in Dynamic Linear Models</w:t>
      </w:r>
      <w:r w:rsidR="00AB1A63" w:rsidRPr="007D2E18">
        <w:rPr>
          <w:rFonts w:ascii="Times New Roman" w:hAnsi="Times New Roman" w:cs="Times New Roman"/>
          <w:sz w:val="24"/>
          <w:szCs w:val="24"/>
          <w:lang w:val="en-GB"/>
        </w:rPr>
        <w:t>”</w:t>
      </w:r>
      <w:r w:rsidR="008861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Econometrica</w:t>
      </w:r>
      <w:r w:rsidR="0085000C" w:rsidRPr="007D2E18">
        <w:rPr>
          <w:rFonts w:ascii="Times New Roman" w:hAnsi="Times New Roman" w:cs="Times New Roman"/>
          <w:sz w:val="24"/>
          <w:szCs w:val="24"/>
          <w:lang w:val="en-GB"/>
        </w:rPr>
        <w:t xml:space="preserve"> 17</w:t>
      </w:r>
      <w:r w:rsidR="00886189"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334-355.</w:t>
      </w:r>
    </w:p>
    <w:p w14:paraId="2D4EE34F" w14:textId="101FA261"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BURGGRAF</w:t>
      </w:r>
      <w:r w:rsidR="0085000C" w:rsidRPr="007D2E18">
        <w:rPr>
          <w:rFonts w:ascii="Times New Roman" w:hAnsi="Times New Roman" w:cs="Times New Roman"/>
          <w:sz w:val="24"/>
          <w:szCs w:val="24"/>
          <w:lang w:val="en-GB"/>
        </w:rPr>
        <w:t xml:space="preserve">, T., R. </w:t>
      </w:r>
      <w:r w:rsidRPr="007D2E18">
        <w:rPr>
          <w:rFonts w:ascii="Times New Roman" w:hAnsi="Times New Roman" w:cs="Times New Roman"/>
          <w:sz w:val="24"/>
          <w:szCs w:val="24"/>
          <w:lang w:val="en-GB"/>
        </w:rPr>
        <w:t>FENDEL</w:t>
      </w:r>
      <w:r w:rsidR="0085000C" w:rsidRPr="007D2E18">
        <w:rPr>
          <w:rFonts w:ascii="Times New Roman" w:hAnsi="Times New Roman" w:cs="Times New Roman"/>
          <w:sz w:val="24"/>
          <w:szCs w:val="24"/>
          <w:lang w:val="en-GB"/>
        </w:rPr>
        <w:t xml:space="preserve">, and T.L.D. </w:t>
      </w:r>
      <w:r w:rsidRPr="007D2E18">
        <w:rPr>
          <w:rFonts w:ascii="Times New Roman" w:hAnsi="Times New Roman" w:cs="Times New Roman"/>
          <w:sz w:val="24"/>
          <w:szCs w:val="24"/>
          <w:lang w:val="en-GB"/>
        </w:rPr>
        <w:t xml:space="preserve">HUYNH </w:t>
      </w:r>
      <w:r w:rsidR="0085000C" w:rsidRPr="007D2E18">
        <w:rPr>
          <w:rFonts w:ascii="Times New Roman" w:hAnsi="Times New Roman" w:cs="Times New Roman"/>
          <w:sz w:val="24"/>
          <w:szCs w:val="24"/>
          <w:lang w:val="en-GB"/>
        </w:rPr>
        <w:t>(2019)</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Political News and Stock Prices: Evidence from Trump</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s Trade War,</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forthcoming, </w:t>
      </w:r>
      <w:r w:rsidR="0085000C" w:rsidRPr="007D2E18">
        <w:rPr>
          <w:rFonts w:ascii="Times New Roman" w:hAnsi="Times New Roman" w:cs="Times New Roman"/>
          <w:i/>
          <w:iCs/>
          <w:sz w:val="24"/>
          <w:szCs w:val="24"/>
          <w:lang w:val="en-GB"/>
        </w:rPr>
        <w:t>Applied Economic Letters</w:t>
      </w:r>
      <w:r w:rsidR="0085000C" w:rsidRPr="007D2E18">
        <w:rPr>
          <w:rFonts w:ascii="Times New Roman" w:hAnsi="Times New Roman" w:cs="Times New Roman"/>
          <w:sz w:val="24"/>
          <w:szCs w:val="24"/>
          <w:lang w:val="en-GB"/>
        </w:rPr>
        <w:t>.</w:t>
      </w:r>
    </w:p>
    <w:p w14:paraId="5334751C" w14:textId="6C995317"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CAIRNS</w:t>
      </w:r>
      <w:r w:rsidR="0085000C" w:rsidRPr="007D2E18">
        <w:rPr>
          <w:rFonts w:ascii="Times New Roman" w:hAnsi="Times New Roman" w:cs="Times New Roman"/>
          <w:sz w:val="24"/>
          <w:szCs w:val="24"/>
          <w:lang w:val="en-GB"/>
        </w:rPr>
        <w:t xml:space="preserve">, R.D. and E. </w:t>
      </w:r>
      <w:r w:rsidRPr="007D2E18">
        <w:rPr>
          <w:rFonts w:ascii="Times New Roman" w:hAnsi="Times New Roman" w:cs="Times New Roman"/>
          <w:sz w:val="24"/>
          <w:szCs w:val="24"/>
          <w:lang w:val="en-GB"/>
        </w:rPr>
        <w:t xml:space="preserve">CALFUCURA </w:t>
      </w:r>
      <w:r w:rsidR="0085000C" w:rsidRPr="007D2E18">
        <w:rPr>
          <w:rFonts w:ascii="Times New Roman" w:hAnsi="Times New Roman" w:cs="Times New Roman"/>
          <w:sz w:val="24"/>
          <w:szCs w:val="24"/>
          <w:lang w:val="en-GB"/>
        </w:rPr>
        <w:t>(2012)</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OPEC: Market Failure or Power Failure?</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Energy Policy</w:t>
      </w:r>
      <w:r w:rsidR="0085000C" w:rsidRPr="007D2E18">
        <w:rPr>
          <w:rFonts w:ascii="Times New Roman" w:hAnsi="Times New Roman" w:cs="Times New Roman"/>
          <w:sz w:val="24"/>
          <w:szCs w:val="24"/>
          <w:lang w:val="en-GB"/>
        </w:rPr>
        <w:t xml:space="preserve"> 50</w:t>
      </w:r>
      <w:r w:rsidR="00886189"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570-580.</w:t>
      </w:r>
    </w:p>
    <w:p w14:paraId="47B9FC24" w14:textId="2091D941"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CALDARA</w:t>
      </w:r>
      <w:r w:rsidR="0085000C" w:rsidRPr="007D2E18">
        <w:rPr>
          <w:rFonts w:ascii="Times New Roman" w:hAnsi="Times New Roman" w:cs="Times New Roman"/>
          <w:sz w:val="24"/>
          <w:szCs w:val="24"/>
          <w:lang w:val="en-GB"/>
        </w:rPr>
        <w:t xml:space="preserve">, D. and M. </w:t>
      </w:r>
      <w:r w:rsidRPr="007D2E18">
        <w:rPr>
          <w:rFonts w:ascii="Times New Roman" w:hAnsi="Times New Roman" w:cs="Times New Roman"/>
          <w:sz w:val="24"/>
          <w:szCs w:val="24"/>
          <w:lang w:val="en-GB"/>
        </w:rPr>
        <w:t xml:space="preserve">IACOVIELLO </w:t>
      </w:r>
      <w:r w:rsidR="0085000C" w:rsidRPr="007D2E18">
        <w:rPr>
          <w:rFonts w:ascii="Times New Roman" w:hAnsi="Times New Roman" w:cs="Times New Roman"/>
          <w:sz w:val="24"/>
          <w:szCs w:val="24"/>
          <w:lang w:val="en-GB"/>
        </w:rPr>
        <w:t>(2018)</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i/>
          <w:iCs/>
          <w:sz w:val="24"/>
          <w:szCs w:val="24"/>
          <w:lang w:val="en-GB"/>
        </w:rPr>
        <w:t>Measuring Geopolitical Risk</w:t>
      </w:r>
      <w:r w:rsidR="00AB1A63" w:rsidRPr="007D2E18">
        <w:rPr>
          <w:rFonts w:ascii="Times New Roman" w:hAnsi="Times New Roman" w:cs="Times New Roman"/>
          <w:sz w:val="24"/>
          <w:szCs w:val="24"/>
          <w:lang w:val="en-GB"/>
        </w:rPr>
        <w:t>”</w:t>
      </w:r>
      <w:r w:rsidR="008F4D10"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International Finance Discussion Papers, Board of Governors of the Federal Reserve Board.</w:t>
      </w:r>
    </w:p>
    <w:p w14:paraId="2C17B22D" w14:textId="624CBAD1"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CONSIDINE</w:t>
      </w:r>
      <w:r w:rsidR="0085000C" w:rsidRPr="007D2E18">
        <w:rPr>
          <w:rFonts w:ascii="Times New Roman" w:hAnsi="Times New Roman" w:cs="Times New Roman"/>
          <w:sz w:val="24"/>
          <w:szCs w:val="24"/>
          <w:lang w:val="en-GB"/>
        </w:rPr>
        <w:t>, T.J. (2006)</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Is the Strategic Petroleum Reserve Our Ace in the Hole?</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The Energy Journal</w:t>
      </w:r>
      <w:r w:rsidR="0085000C" w:rsidRPr="007D2E18">
        <w:rPr>
          <w:rFonts w:ascii="Times New Roman" w:hAnsi="Times New Roman" w:cs="Times New Roman"/>
          <w:sz w:val="24"/>
          <w:szCs w:val="24"/>
          <w:lang w:val="en-GB"/>
        </w:rPr>
        <w:t xml:space="preserve"> 27</w:t>
      </w:r>
      <w:r w:rsidR="00886189"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(3)</w:t>
      </w:r>
      <w:r w:rsidR="00886189"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91-112.</w:t>
      </w:r>
    </w:p>
    <w:p w14:paraId="3B0BF7EA" w14:textId="6E4E0B2C"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DAHL</w:t>
      </w:r>
      <w:r w:rsidR="0085000C" w:rsidRPr="007D2E18">
        <w:rPr>
          <w:rFonts w:ascii="Times New Roman" w:hAnsi="Times New Roman" w:cs="Times New Roman"/>
          <w:sz w:val="24"/>
          <w:szCs w:val="24"/>
          <w:lang w:val="en-GB"/>
        </w:rPr>
        <w:t xml:space="preserve">, C. and M. </w:t>
      </w:r>
      <w:r w:rsidRPr="007D2E18">
        <w:rPr>
          <w:rFonts w:ascii="Times New Roman" w:hAnsi="Times New Roman" w:cs="Times New Roman"/>
          <w:sz w:val="24"/>
          <w:szCs w:val="24"/>
          <w:lang w:val="en-GB"/>
        </w:rPr>
        <w:t xml:space="preserve">YÜCEL </w:t>
      </w:r>
      <w:r w:rsidR="0085000C" w:rsidRPr="007D2E18">
        <w:rPr>
          <w:rFonts w:ascii="Times New Roman" w:hAnsi="Times New Roman" w:cs="Times New Roman"/>
          <w:sz w:val="24"/>
          <w:szCs w:val="24"/>
          <w:lang w:val="en-GB"/>
        </w:rPr>
        <w:t>(1989)</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i/>
          <w:iCs/>
          <w:sz w:val="24"/>
          <w:szCs w:val="24"/>
          <w:lang w:val="en-GB"/>
        </w:rPr>
        <w:t>Dynamic Modeling and Testing of OPEC Behaviour</w:t>
      </w:r>
      <w:r w:rsidR="00AB1A63" w:rsidRPr="007D2E18">
        <w:rPr>
          <w:rFonts w:ascii="Times New Roman" w:hAnsi="Times New Roman" w:cs="Times New Roman"/>
          <w:sz w:val="24"/>
          <w:szCs w:val="24"/>
          <w:lang w:val="en-GB"/>
        </w:rPr>
        <w:t>”</w:t>
      </w:r>
      <w:r w:rsidR="008F4D10"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Research Paper 8917, Federal Reserve Bank of Dallas.</w:t>
      </w:r>
    </w:p>
    <w:p w14:paraId="439DF369" w14:textId="3B283260"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DE GREGORIO</w:t>
      </w:r>
      <w:r w:rsidR="0085000C" w:rsidRPr="007D2E18">
        <w:rPr>
          <w:rFonts w:ascii="Times New Roman" w:hAnsi="Times New Roman" w:cs="Times New Roman"/>
          <w:sz w:val="24"/>
          <w:szCs w:val="24"/>
          <w:lang w:val="en-GB"/>
        </w:rPr>
        <w:t xml:space="preserve">, J., O. </w:t>
      </w:r>
      <w:r w:rsidRPr="007D2E18">
        <w:rPr>
          <w:rFonts w:ascii="Times New Roman" w:hAnsi="Times New Roman" w:cs="Times New Roman"/>
          <w:sz w:val="24"/>
          <w:szCs w:val="24"/>
          <w:lang w:val="en-GB"/>
        </w:rPr>
        <w:t>LANDERRETCHE</w:t>
      </w:r>
      <w:r w:rsidR="0085000C" w:rsidRPr="007D2E18">
        <w:rPr>
          <w:rFonts w:ascii="Times New Roman" w:hAnsi="Times New Roman" w:cs="Times New Roman"/>
          <w:sz w:val="24"/>
          <w:szCs w:val="24"/>
          <w:lang w:val="en-GB"/>
        </w:rPr>
        <w:t xml:space="preserve">, and C. </w:t>
      </w:r>
      <w:r w:rsidRPr="007D2E18">
        <w:rPr>
          <w:rFonts w:ascii="Times New Roman" w:hAnsi="Times New Roman" w:cs="Times New Roman"/>
          <w:sz w:val="24"/>
          <w:szCs w:val="24"/>
          <w:lang w:val="en-GB"/>
        </w:rPr>
        <w:t xml:space="preserve">NEILSON </w:t>
      </w:r>
      <w:r w:rsidR="0085000C" w:rsidRPr="007D2E18">
        <w:rPr>
          <w:rFonts w:ascii="Times New Roman" w:hAnsi="Times New Roman" w:cs="Times New Roman"/>
          <w:sz w:val="24"/>
          <w:szCs w:val="24"/>
          <w:lang w:val="en-GB"/>
        </w:rPr>
        <w:t>(2007)</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Another Pass-Through Bites the Dust? Oil Prices and Inflation</w:t>
      </w:r>
      <w:r w:rsidR="00AB1A63" w:rsidRPr="007D2E18">
        <w:rPr>
          <w:rFonts w:ascii="Times New Roman" w:hAnsi="Times New Roman" w:cs="Times New Roman"/>
          <w:sz w:val="24"/>
          <w:szCs w:val="24"/>
          <w:lang w:val="en-GB"/>
        </w:rPr>
        <w:t>”</w:t>
      </w:r>
      <w:r w:rsidR="008861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Economia</w:t>
      </w:r>
      <w:r w:rsidR="0085000C" w:rsidRPr="007D2E18">
        <w:rPr>
          <w:rFonts w:ascii="Times New Roman" w:hAnsi="Times New Roman" w:cs="Times New Roman"/>
          <w:sz w:val="24"/>
          <w:szCs w:val="24"/>
          <w:lang w:val="en-GB"/>
        </w:rPr>
        <w:t xml:space="preserve"> 7</w:t>
      </w:r>
      <w:r w:rsidR="00886189"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155-196.</w:t>
      </w:r>
    </w:p>
    <w:p w14:paraId="2D7737F0" w14:textId="6D9EFE71"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DEAVES</w:t>
      </w:r>
      <w:r w:rsidR="0085000C" w:rsidRPr="007D2E18">
        <w:rPr>
          <w:rFonts w:ascii="Times New Roman" w:hAnsi="Times New Roman" w:cs="Times New Roman"/>
          <w:sz w:val="24"/>
          <w:szCs w:val="24"/>
          <w:lang w:val="en-GB"/>
        </w:rPr>
        <w:t xml:space="preserve">, R. and I. </w:t>
      </w:r>
      <w:r w:rsidRPr="007D2E18">
        <w:rPr>
          <w:rFonts w:ascii="Times New Roman" w:hAnsi="Times New Roman" w:cs="Times New Roman"/>
          <w:sz w:val="24"/>
          <w:szCs w:val="24"/>
          <w:lang w:val="en-GB"/>
        </w:rPr>
        <w:t xml:space="preserve">KRINSKY </w:t>
      </w:r>
      <w:r w:rsidR="0085000C" w:rsidRPr="007D2E18">
        <w:rPr>
          <w:rFonts w:ascii="Times New Roman" w:hAnsi="Times New Roman" w:cs="Times New Roman"/>
          <w:sz w:val="24"/>
          <w:szCs w:val="24"/>
          <w:lang w:val="en-GB"/>
        </w:rPr>
        <w:t>(1992)</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The Behaviour of Oil Futures Returns around OPEC Conferences</w:t>
      </w:r>
      <w:r w:rsidR="00AB1A63" w:rsidRPr="007D2E18">
        <w:rPr>
          <w:rFonts w:ascii="Times New Roman" w:hAnsi="Times New Roman" w:cs="Times New Roman"/>
          <w:sz w:val="24"/>
          <w:szCs w:val="24"/>
          <w:lang w:val="en-GB"/>
        </w:rPr>
        <w:t>”</w:t>
      </w:r>
      <w:r w:rsidR="008861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Journal of Future Markets</w:t>
      </w:r>
      <w:r w:rsidR="0085000C" w:rsidRPr="007D2E18">
        <w:rPr>
          <w:rFonts w:ascii="Times New Roman" w:hAnsi="Times New Roman" w:cs="Times New Roman"/>
          <w:sz w:val="24"/>
          <w:szCs w:val="24"/>
          <w:lang w:val="en-GB"/>
        </w:rPr>
        <w:t xml:space="preserve"> 12</w:t>
      </w:r>
      <w:r w:rsidR="00886189"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(5)</w:t>
      </w:r>
      <w:r w:rsidR="00886189"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563-574.</w:t>
      </w:r>
    </w:p>
    <w:p w14:paraId="6810F6BC" w14:textId="699E8E94"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DEMIRER</w:t>
      </w:r>
      <w:r w:rsidR="0085000C" w:rsidRPr="007D2E18">
        <w:rPr>
          <w:rFonts w:ascii="Times New Roman" w:hAnsi="Times New Roman" w:cs="Times New Roman"/>
          <w:sz w:val="24"/>
          <w:szCs w:val="24"/>
          <w:lang w:val="en-GB"/>
        </w:rPr>
        <w:t xml:space="preserve">, R. and A.M. </w:t>
      </w:r>
      <w:r w:rsidRPr="007D2E18">
        <w:rPr>
          <w:rFonts w:ascii="Times New Roman" w:hAnsi="Times New Roman" w:cs="Times New Roman"/>
          <w:sz w:val="24"/>
          <w:szCs w:val="24"/>
          <w:lang w:val="en-GB"/>
        </w:rPr>
        <w:t xml:space="preserve">KUTAN </w:t>
      </w:r>
      <w:r w:rsidR="0085000C" w:rsidRPr="007D2E18">
        <w:rPr>
          <w:rFonts w:ascii="Times New Roman" w:hAnsi="Times New Roman" w:cs="Times New Roman"/>
          <w:sz w:val="24"/>
          <w:szCs w:val="24"/>
          <w:lang w:val="en-GB"/>
        </w:rPr>
        <w:t>(2010)</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The Behaviour of Crude Oil Spot and Future Prices Around OPEC and SPR Announcements: An Event Study Perspective</w:t>
      </w:r>
      <w:r w:rsidR="00AB1A63" w:rsidRPr="007D2E18">
        <w:rPr>
          <w:rFonts w:ascii="Times New Roman" w:hAnsi="Times New Roman" w:cs="Times New Roman"/>
          <w:sz w:val="24"/>
          <w:szCs w:val="24"/>
          <w:lang w:val="en-GB"/>
        </w:rPr>
        <w:t>”</w:t>
      </w:r>
      <w:r w:rsidR="008861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Energy Economics</w:t>
      </w:r>
      <w:r w:rsidR="0085000C" w:rsidRPr="007D2E18">
        <w:rPr>
          <w:rFonts w:ascii="Times New Roman" w:hAnsi="Times New Roman" w:cs="Times New Roman"/>
          <w:sz w:val="24"/>
          <w:szCs w:val="24"/>
          <w:lang w:val="en-GB"/>
        </w:rPr>
        <w:t xml:space="preserve"> 32</w:t>
      </w:r>
      <w:r w:rsidR="00886189"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1467-1476.</w:t>
      </w:r>
    </w:p>
    <w:p w14:paraId="6F9BB415" w14:textId="7FB8F5BD"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DRAKOS</w:t>
      </w:r>
      <w:r w:rsidR="0085000C" w:rsidRPr="007D2E18">
        <w:rPr>
          <w:rFonts w:ascii="Times New Roman" w:hAnsi="Times New Roman" w:cs="Times New Roman"/>
          <w:sz w:val="24"/>
          <w:szCs w:val="24"/>
          <w:lang w:val="en-GB"/>
        </w:rPr>
        <w:t xml:space="preserve">, K. and C. </w:t>
      </w:r>
      <w:r w:rsidRPr="007D2E18">
        <w:rPr>
          <w:rFonts w:ascii="Times New Roman" w:hAnsi="Times New Roman" w:cs="Times New Roman"/>
          <w:sz w:val="24"/>
          <w:szCs w:val="24"/>
          <w:lang w:val="en-GB"/>
        </w:rPr>
        <w:t xml:space="preserve">KALLANDRANIS </w:t>
      </w:r>
      <w:r w:rsidR="0085000C" w:rsidRPr="007D2E18">
        <w:rPr>
          <w:rFonts w:ascii="Times New Roman" w:hAnsi="Times New Roman" w:cs="Times New Roman"/>
          <w:sz w:val="24"/>
          <w:szCs w:val="24"/>
          <w:lang w:val="en-GB"/>
        </w:rPr>
        <w:t>(2015)</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A Note on the Effect of Terrorism on Economic Sentiment</w:t>
      </w:r>
      <w:r w:rsidR="00AB1A63" w:rsidRPr="007D2E18">
        <w:rPr>
          <w:rFonts w:ascii="Times New Roman" w:hAnsi="Times New Roman" w:cs="Times New Roman"/>
          <w:sz w:val="24"/>
          <w:szCs w:val="24"/>
          <w:lang w:val="en-GB"/>
        </w:rPr>
        <w:t>”</w:t>
      </w:r>
      <w:r w:rsidR="008861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Defence and Peace Economics</w:t>
      </w:r>
      <w:r w:rsidR="0085000C" w:rsidRPr="007D2E18">
        <w:rPr>
          <w:rFonts w:ascii="Times New Roman" w:hAnsi="Times New Roman" w:cs="Times New Roman"/>
          <w:sz w:val="24"/>
          <w:szCs w:val="24"/>
          <w:lang w:val="en-GB"/>
        </w:rPr>
        <w:t xml:space="preserve"> 26</w:t>
      </w:r>
      <w:r w:rsidR="00886189"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(6)</w:t>
      </w:r>
      <w:r w:rsidR="00886189"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600-608.</w:t>
      </w:r>
    </w:p>
    <w:p w14:paraId="2C994AC9" w14:textId="2D04F3D2"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DRAPER</w:t>
      </w:r>
      <w:r w:rsidR="0085000C" w:rsidRPr="007D2E18">
        <w:rPr>
          <w:rFonts w:ascii="Times New Roman" w:hAnsi="Times New Roman" w:cs="Times New Roman"/>
          <w:sz w:val="24"/>
          <w:szCs w:val="24"/>
          <w:lang w:val="en-GB"/>
        </w:rPr>
        <w:t>, D.W. (1984)</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The Behaviour of Event-Related Returns on Oil Futures Contracts</w:t>
      </w:r>
      <w:r w:rsidR="00AB1A63" w:rsidRPr="007D2E18">
        <w:rPr>
          <w:rFonts w:ascii="Times New Roman" w:hAnsi="Times New Roman" w:cs="Times New Roman"/>
          <w:sz w:val="24"/>
          <w:szCs w:val="24"/>
          <w:lang w:val="en-GB"/>
        </w:rPr>
        <w:t>”</w:t>
      </w:r>
      <w:r w:rsidR="008861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Journal of Futures Markets</w:t>
      </w:r>
      <w:r w:rsidR="0085000C" w:rsidRPr="007D2E18">
        <w:rPr>
          <w:rFonts w:ascii="Times New Roman" w:hAnsi="Times New Roman" w:cs="Times New Roman"/>
          <w:sz w:val="24"/>
          <w:szCs w:val="24"/>
          <w:lang w:val="en-GB"/>
        </w:rPr>
        <w:t xml:space="preserve"> 4</w:t>
      </w:r>
      <w:r w:rsidR="00886189"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125-132.</w:t>
      </w:r>
    </w:p>
    <w:p w14:paraId="2E0F2D91" w14:textId="7476F374"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DRIESPRONG</w:t>
      </w:r>
      <w:r w:rsidR="0085000C" w:rsidRPr="007D2E18">
        <w:rPr>
          <w:rFonts w:ascii="Times New Roman" w:hAnsi="Times New Roman" w:cs="Times New Roman"/>
          <w:sz w:val="24"/>
          <w:szCs w:val="24"/>
          <w:lang w:val="en-GB"/>
        </w:rPr>
        <w:t xml:space="preserve">, G., B. </w:t>
      </w:r>
      <w:r w:rsidRPr="007D2E18">
        <w:rPr>
          <w:rFonts w:ascii="Times New Roman" w:hAnsi="Times New Roman" w:cs="Times New Roman"/>
          <w:sz w:val="24"/>
          <w:szCs w:val="24"/>
          <w:lang w:val="en-GB"/>
        </w:rPr>
        <w:t>JACOBSEN</w:t>
      </w:r>
      <w:r w:rsidR="0085000C" w:rsidRPr="007D2E18">
        <w:rPr>
          <w:rFonts w:ascii="Times New Roman" w:hAnsi="Times New Roman" w:cs="Times New Roman"/>
          <w:sz w:val="24"/>
          <w:szCs w:val="24"/>
          <w:lang w:val="en-GB"/>
        </w:rPr>
        <w:t xml:space="preserve">, and M. </w:t>
      </w:r>
      <w:r w:rsidRPr="007D2E18">
        <w:rPr>
          <w:rFonts w:ascii="Times New Roman" w:hAnsi="Times New Roman" w:cs="Times New Roman"/>
          <w:sz w:val="24"/>
          <w:szCs w:val="24"/>
          <w:lang w:val="en-GB"/>
        </w:rPr>
        <w:t xml:space="preserve">BENJIMAN </w:t>
      </w:r>
      <w:r w:rsidR="0085000C" w:rsidRPr="007D2E18">
        <w:rPr>
          <w:rFonts w:ascii="Times New Roman" w:hAnsi="Times New Roman" w:cs="Times New Roman"/>
          <w:sz w:val="24"/>
          <w:szCs w:val="24"/>
          <w:lang w:val="en-GB"/>
        </w:rPr>
        <w:t>(2008)</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Striking Oil: Another Puzzle?</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Journal of Financial Economics</w:t>
      </w:r>
      <w:r w:rsidR="0085000C" w:rsidRPr="007D2E18">
        <w:rPr>
          <w:rFonts w:ascii="Times New Roman" w:hAnsi="Times New Roman" w:cs="Times New Roman"/>
          <w:sz w:val="24"/>
          <w:szCs w:val="24"/>
          <w:lang w:val="en-GB"/>
        </w:rPr>
        <w:t xml:space="preserve"> 89</w:t>
      </w:r>
      <w:r w:rsidR="00886189"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(2)</w:t>
      </w:r>
      <w:r w:rsidR="00886189"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307-327.</w:t>
      </w:r>
    </w:p>
    <w:p w14:paraId="59997F58" w14:textId="10CEA18F"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FATTOUH</w:t>
      </w:r>
      <w:r w:rsidR="0085000C" w:rsidRPr="007D2E18">
        <w:rPr>
          <w:rFonts w:ascii="Times New Roman" w:hAnsi="Times New Roman" w:cs="Times New Roman"/>
          <w:sz w:val="24"/>
          <w:szCs w:val="24"/>
          <w:lang w:val="en-GB"/>
        </w:rPr>
        <w:t>, B. (2005)</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The Causes of Crude Oil Price Volatility,</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i/>
          <w:iCs/>
          <w:sz w:val="24"/>
          <w:szCs w:val="24"/>
          <w:lang w:val="en-GB"/>
        </w:rPr>
        <w:t xml:space="preserve"> Middle East Economic Survey</w:t>
      </w:r>
      <w:r w:rsidR="0085000C" w:rsidRPr="007D2E18">
        <w:rPr>
          <w:rFonts w:ascii="Times New Roman" w:hAnsi="Times New Roman" w:cs="Times New Roman"/>
          <w:sz w:val="24"/>
          <w:szCs w:val="24"/>
          <w:lang w:val="en-GB"/>
        </w:rPr>
        <w:t xml:space="preserve"> XLVIII,</w:t>
      </w:r>
      <w:r w:rsidR="00886189" w:rsidRPr="007D2E18">
        <w:rPr>
          <w:rFonts w:ascii="Times New Roman" w:hAnsi="Times New Roman" w:cs="Times New Roman"/>
          <w:sz w:val="24"/>
          <w:szCs w:val="24"/>
          <w:lang w:val="en-GB"/>
        </w:rPr>
        <w:t xml:space="preserve"> pp.</w:t>
      </w:r>
      <w:r w:rsidR="0085000C" w:rsidRPr="007D2E18">
        <w:rPr>
          <w:rFonts w:ascii="Times New Roman" w:hAnsi="Times New Roman" w:cs="Times New Roman"/>
          <w:sz w:val="24"/>
          <w:szCs w:val="24"/>
          <w:lang w:val="en-GB"/>
        </w:rPr>
        <w:t xml:space="preserve"> 13.</w:t>
      </w:r>
    </w:p>
    <w:p w14:paraId="5C59BEC4" w14:textId="441A2CF2"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FATTOUH</w:t>
      </w:r>
      <w:r w:rsidR="0085000C" w:rsidRPr="007D2E18">
        <w:rPr>
          <w:rFonts w:ascii="Times New Roman" w:hAnsi="Times New Roman" w:cs="Times New Roman"/>
          <w:sz w:val="24"/>
          <w:szCs w:val="24"/>
          <w:lang w:val="en-GB"/>
        </w:rPr>
        <w:t>, B. (2007)</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i/>
          <w:iCs/>
          <w:sz w:val="24"/>
          <w:szCs w:val="24"/>
          <w:lang w:val="en-GB"/>
        </w:rPr>
        <w:t>The Drivers of Oil Prices: The Usefulness and Limitations of Nonstructural Model, the Demand-Supply Framework and Informal Approaches</w:t>
      </w:r>
      <w:r w:rsidR="00AB1A63" w:rsidRPr="007D2E18">
        <w:rPr>
          <w:rFonts w:ascii="Times New Roman" w:hAnsi="Times New Roman" w:cs="Times New Roman"/>
          <w:sz w:val="24"/>
          <w:szCs w:val="24"/>
          <w:lang w:val="en-GB"/>
        </w:rPr>
        <w:t>”</w:t>
      </w:r>
      <w:r w:rsidR="008F4D10"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WPM 32, Oxford Institute for Energy Studies.</w:t>
      </w:r>
    </w:p>
    <w:p w14:paraId="773865F7" w14:textId="5F79364A"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GAIBULLOEV</w:t>
      </w:r>
      <w:r w:rsidR="0085000C" w:rsidRPr="007D2E18">
        <w:rPr>
          <w:rFonts w:ascii="Times New Roman" w:hAnsi="Times New Roman" w:cs="Times New Roman"/>
          <w:sz w:val="24"/>
          <w:szCs w:val="24"/>
          <w:lang w:val="en-GB"/>
        </w:rPr>
        <w:t xml:space="preserve">, K. and T. </w:t>
      </w:r>
      <w:r w:rsidRPr="007D2E18">
        <w:rPr>
          <w:rFonts w:ascii="Times New Roman" w:hAnsi="Times New Roman" w:cs="Times New Roman"/>
          <w:sz w:val="24"/>
          <w:szCs w:val="24"/>
          <w:lang w:val="en-GB"/>
        </w:rPr>
        <w:t xml:space="preserve">SANDLER </w:t>
      </w:r>
      <w:r w:rsidR="0085000C" w:rsidRPr="007D2E18">
        <w:rPr>
          <w:rFonts w:ascii="Times New Roman" w:hAnsi="Times New Roman" w:cs="Times New Roman"/>
          <w:sz w:val="24"/>
          <w:szCs w:val="24"/>
          <w:lang w:val="en-GB"/>
        </w:rPr>
        <w:t>(2009)</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The Impact of Terrorism and Conflicts on Growth in Asia</w:t>
      </w:r>
      <w:r w:rsidR="00AB1A63" w:rsidRPr="007D2E18">
        <w:rPr>
          <w:rFonts w:ascii="Times New Roman" w:hAnsi="Times New Roman" w:cs="Times New Roman"/>
          <w:sz w:val="24"/>
          <w:szCs w:val="24"/>
          <w:lang w:val="en-GB"/>
        </w:rPr>
        <w:t>”</w:t>
      </w:r>
      <w:r w:rsidR="008861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Economics &amp; Politics</w:t>
      </w:r>
      <w:r w:rsidR="0085000C" w:rsidRPr="007D2E18">
        <w:rPr>
          <w:rFonts w:ascii="Times New Roman" w:hAnsi="Times New Roman" w:cs="Times New Roman"/>
          <w:sz w:val="24"/>
          <w:szCs w:val="24"/>
          <w:lang w:val="en-GB"/>
        </w:rPr>
        <w:t xml:space="preserve"> 21</w:t>
      </w:r>
      <w:r w:rsidR="00886189"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(3)</w:t>
      </w:r>
      <w:r w:rsidR="00886189"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359-383.</w:t>
      </w:r>
    </w:p>
    <w:p w14:paraId="730625FE" w14:textId="51CFE787"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lastRenderedPageBreak/>
        <w:t>GODFREY</w:t>
      </w:r>
      <w:r w:rsidR="0085000C" w:rsidRPr="007D2E18">
        <w:rPr>
          <w:rFonts w:ascii="Times New Roman" w:hAnsi="Times New Roman" w:cs="Times New Roman"/>
          <w:sz w:val="24"/>
          <w:szCs w:val="24"/>
          <w:lang w:val="en-GB"/>
        </w:rPr>
        <w:t>, L.G. (1978)</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Testing Against General Autoregressive and Moving Average Error Models when the Regressors include Lagged Dependant Variables</w:t>
      </w:r>
      <w:r w:rsidR="00AB1A63" w:rsidRPr="007D2E18">
        <w:rPr>
          <w:rFonts w:ascii="Times New Roman" w:hAnsi="Times New Roman" w:cs="Times New Roman"/>
          <w:sz w:val="24"/>
          <w:szCs w:val="24"/>
          <w:lang w:val="en-GB"/>
        </w:rPr>
        <w:t>”</w:t>
      </w:r>
      <w:r w:rsidR="008861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Econometrica</w:t>
      </w:r>
      <w:r w:rsidR="0085000C" w:rsidRPr="007D2E18">
        <w:rPr>
          <w:rFonts w:ascii="Times New Roman" w:hAnsi="Times New Roman" w:cs="Times New Roman"/>
          <w:sz w:val="24"/>
          <w:szCs w:val="24"/>
          <w:lang w:val="en-GB"/>
        </w:rPr>
        <w:t xml:space="preserve"> 46</w:t>
      </w:r>
      <w:r w:rsidR="00886189"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1293-1302.</w:t>
      </w:r>
    </w:p>
    <w:p w14:paraId="684B0C8B" w14:textId="5EE4ED1A"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GRANGER</w:t>
      </w:r>
      <w:r w:rsidR="0085000C" w:rsidRPr="007D2E18">
        <w:rPr>
          <w:rFonts w:ascii="Times New Roman" w:hAnsi="Times New Roman" w:cs="Times New Roman"/>
          <w:sz w:val="24"/>
          <w:szCs w:val="24"/>
          <w:lang w:val="en-GB"/>
        </w:rPr>
        <w:t>, C.W.J. (1969)</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AB1A63"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Investigating Causal Relations by Econometric Models and Cross-spectral Methods</w:t>
      </w:r>
      <w:r w:rsidR="00AB1A63" w:rsidRPr="007D2E18">
        <w:rPr>
          <w:rFonts w:ascii="Times New Roman" w:hAnsi="Times New Roman" w:cs="Times New Roman"/>
          <w:sz w:val="24"/>
          <w:szCs w:val="24"/>
          <w:lang w:val="en-GB"/>
        </w:rPr>
        <w:t>”</w:t>
      </w:r>
      <w:r w:rsidR="008861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Econometrica</w:t>
      </w:r>
      <w:r w:rsidR="0085000C" w:rsidRPr="007D2E18">
        <w:rPr>
          <w:rFonts w:ascii="Times New Roman" w:hAnsi="Times New Roman" w:cs="Times New Roman"/>
          <w:sz w:val="24"/>
          <w:szCs w:val="24"/>
          <w:lang w:val="en-GB"/>
        </w:rPr>
        <w:t xml:space="preserve"> 37</w:t>
      </w:r>
      <w:r w:rsidR="00886189"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(3)</w:t>
      </w:r>
      <w:r w:rsidR="00886189"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424-438.</w:t>
      </w:r>
    </w:p>
    <w:p w14:paraId="14E161A1" w14:textId="63356C44"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GRANGER</w:t>
      </w:r>
      <w:r w:rsidR="0085000C" w:rsidRPr="007D2E18">
        <w:rPr>
          <w:rFonts w:ascii="Times New Roman" w:hAnsi="Times New Roman" w:cs="Times New Roman"/>
          <w:sz w:val="24"/>
          <w:szCs w:val="24"/>
          <w:lang w:val="en-GB"/>
        </w:rPr>
        <w:t>, C.W.J. (1980)</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241B5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Testing for Causality: A Personal Viewpoint,</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Journal of Economic Dynamics and Control</w:t>
      </w:r>
      <w:r w:rsidR="0085000C" w:rsidRPr="007D2E18">
        <w:rPr>
          <w:rFonts w:ascii="Times New Roman" w:hAnsi="Times New Roman" w:cs="Times New Roman"/>
          <w:sz w:val="24"/>
          <w:szCs w:val="24"/>
          <w:lang w:val="en-GB"/>
        </w:rPr>
        <w:t xml:space="preserve"> 2</w:t>
      </w:r>
      <w:r w:rsidR="00886189"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329-352.</w:t>
      </w:r>
    </w:p>
    <w:p w14:paraId="1B170C75" w14:textId="2E049A58"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GRANGER</w:t>
      </w:r>
      <w:r w:rsidR="0085000C" w:rsidRPr="007D2E18">
        <w:rPr>
          <w:rFonts w:ascii="Times New Roman" w:hAnsi="Times New Roman" w:cs="Times New Roman"/>
          <w:sz w:val="24"/>
          <w:szCs w:val="24"/>
          <w:lang w:val="en-GB"/>
        </w:rPr>
        <w:t>, C.W.J. (2004)</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Time Series Analysis, Cointegration, and Applications</w:t>
      </w:r>
      <w:r w:rsidR="007A5589" w:rsidRPr="007D2E18">
        <w:rPr>
          <w:rFonts w:ascii="Times New Roman" w:hAnsi="Times New Roman" w:cs="Times New Roman"/>
          <w:sz w:val="24"/>
          <w:szCs w:val="24"/>
          <w:lang w:val="en-GB"/>
        </w:rPr>
        <w:t>”</w:t>
      </w:r>
      <w:r w:rsidR="008861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American Economic Review</w:t>
      </w:r>
      <w:r w:rsidR="0085000C" w:rsidRPr="007D2E18">
        <w:rPr>
          <w:rFonts w:ascii="Times New Roman" w:hAnsi="Times New Roman" w:cs="Times New Roman"/>
          <w:sz w:val="24"/>
          <w:szCs w:val="24"/>
          <w:lang w:val="en-GB"/>
        </w:rPr>
        <w:t xml:space="preserve"> 94</w:t>
      </w:r>
      <w:r w:rsidR="00886189"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(3)</w:t>
      </w:r>
      <w:r w:rsidR="00886189"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421-425.</w:t>
      </w:r>
    </w:p>
    <w:p w14:paraId="5E45AA09" w14:textId="02DAEF81"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GRIFFIN</w:t>
      </w:r>
      <w:r w:rsidR="0085000C" w:rsidRPr="007D2E18">
        <w:rPr>
          <w:rFonts w:ascii="Times New Roman" w:hAnsi="Times New Roman" w:cs="Times New Roman"/>
          <w:sz w:val="24"/>
          <w:szCs w:val="24"/>
          <w:lang w:val="en-GB"/>
        </w:rPr>
        <w:t xml:space="preserve">, J.M. and D. </w:t>
      </w:r>
      <w:r w:rsidRPr="007D2E18">
        <w:rPr>
          <w:rFonts w:ascii="Times New Roman" w:hAnsi="Times New Roman" w:cs="Times New Roman"/>
          <w:sz w:val="24"/>
          <w:szCs w:val="24"/>
          <w:lang w:val="en-GB"/>
        </w:rPr>
        <w:t xml:space="preserve">TEECE </w:t>
      </w:r>
      <w:r w:rsidR="0085000C" w:rsidRPr="007D2E18">
        <w:rPr>
          <w:rFonts w:ascii="Times New Roman" w:hAnsi="Times New Roman" w:cs="Times New Roman"/>
          <w:sz w:val="24"/>
          <w:szCs w:val="24"/>
          <w:lang w:val="en-GB"/>
        </w:rPr>
        <w:t>(1982)</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OPEC Behaviour and World Oil Prices</w:t>
      </w:r>
      <w:r w:rsidR="0085000C" w:rsidRPr="007D2E18">
        <w:rPr>
          <w:rFonts w:ascii="Times New Roman" w:hAnsi="Times New Roman" w:cs="Times New Roman"/>
          <w:sz w:val="24"/>
          <w:szCs w:val="24"/>
          <w:lang w:val="en-GB"/>
        </w:rPr>
        <w:t>, Allen &amp; Unwin, London, UK.</w:t>
      </w:r>
    </w:p>
    <w:p w14:paraId="6F44F8D3" w14:textId="6636F7BB"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GRIFFIN</w:t>
      </w:r>
      <w:r w:rsidR="0085000C" w:rsidRPr="007D2E18">
        <w:rPr>
          <w:rFonts w:ascii="Times New Roman" w:hAnsi="Times New Roman" w:cs="Times New Roman"/>
          <w:sz w:val="24"/>
          <w:szCs w:val="24"/>
          <w:lang w:val="en-GB"/>
        </w:rPr>
        <w:t xml:space="preserve">, J.M. and W. </w:t>
      </w:r>
      <w:r w:rsidRPr="007D2E18">
        <w:rPr>
          <w:rFonts w:ascii="Times New Roman" w:hAnsi="Times New Roman" w:cs="Times New Roman"/>
          <w:sz w:val="24"/>
          <w:szCs w:val="24"/>
          <w:lang w:val="en-GB"/>
        </w:rPr>
        <w:t xml:space="preserve">XIONG </w:t>
      </w:r>
      <w:r w:rsidR="0085000C" w:rsidRPr="007D2E18">
        <w:rPr>
          <w:rFonts w:ascii="Times New Roman" w:hAnsi="Times New Roman" w:cs="Times New Roman"/>
          <w:sz w:val="24"/>
          <w:szCs w:val="24"/>
          <w:lang w:val="en-GB"/>
        </w:rPr>
        <w:t>(1997)</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The Incentive to Cheat: An Empirical Analysis of OPEC</w:t>
      </w:r>
      <w:r w:rsidR="007A5589" w:rsidRPr="007D2E18">
        <w:rPr>
          <w:rFonts w:ascii="Times New Roman" w:hAnsi="Times New Roman" w:cs="Times New Roman"/>
          <w:sz w:val="24"/>
          <w:szCs w:val="24"/>
          <w:lang w:val="en-GB"/>
        </w:rPr>
        <w:t>”</w:t>
      </w:r>
      <w:r w:rsidR="008861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Journal of Law and Economics</w:t>
      </w:r>
      <w:r w:rsidR="0085000C" w:rsidRPr="007D2E18">
        <w:rPr>
          <w:rFonts w:ascii="Times New Roman" w:hAnsi="Times New Roman" w:cs="Times New Roman"/>
          <w:sz w:val="24"/>
          <w:szCs w:val="24"/>
          <w:lang w:val="en-GB"/>
        </w:rPr>
        <w:t xml:space="preserve"> 40</w:t>
      </w:r>
      <w:r w:rsidR="00886189"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289-316.</w:t>
      </w:r>
    </w:p>
    <w:p w14:paraId="2E694CAC" w14:textId="16428A5D"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GUIDI</w:t>
      </w:r>
      <w:r w:rsidR="0085000C" w:rsidRPr="007D2E18">
        <w:rPr>
          <w:rFonts w:ascii="Times New Roman" w:hAnsi="Times New Roman" w:cs="Times New Roman"/>
          <w:sz w:val="24"/>
          <w:szCs w:val="24"/>
          <w:lang w:val="en-GB"/>
        </w:rPr>
        <w:t xml:space="preserve">, M.G.D., A. </w:t>
      </w:r>
      <w:r w:rsidRPr="007D2E18">
        <w:rPr>
          <w:rFonts w:ascii="Times New Roman" w:hAnsi="Times New Roman" w:cs="Times New Roman"/>
          <w:sz w:val="24"/>
          <w:szCs w:val="24"/>
          <w:lang w:val="en-GB"/>
        </w:rPr>
        <w:t>RUSSELL</w:t>
      </w:r>
      <w:r w:rsidR="0085000C" w:rsidRPr="007D2E18">
        <w:rPr>
          <w:rFonts w:ascii="Times New Roman" w:hAnsi="Times New Roman" w:cs="Times New Roman"/>
          <w:sz w:val="24"/>
          <w:szCs w:val="24"/>
          <w:lang w:val="en-GB"/>
        </w:rPr>
        <w:t xml:space="preserve">, and H. </w:t>
      </w:r>
      <w:r w:rsidRPr="007D2E18">
        <w:rPr>
          <w:rFonts w:ascii="Times New Roman" w:hAnsi="Times New Roman" w:cs="Times New Roman"/>
          <w:sz w:val="24"/>
          <w:szCs w:val="24"/>
          <w:lang w:val="en-GB"/>
        </w:rPr>
        <w:t xml:space="preserve">TARBERT </w:t>
      </w:r>
      <w:r w:rsidR="0085000C" w:rsidRPr="007D2E18">
        <w:rPr>
          <w:rFonts w:ascii="Times New Roman" w:hAnsi="Times New Roman" w:cs="Times New Roman"/>
          <w:sz w:val="24"/>
          <w:szCs w:val="24"/>
          <w:lang w:val="en-GB"/>
        </w:rPr>
        <w:t>(2006)</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The Effects of OPEC Policy Decisions on Oil and Stock Prices</w:t>
      </w:r>
      <w:r w:rsidR="007A5589" w:rsidRPr="007D2E18">
        <w:rPr>
          <w:rFonts w:ascii="Times New Roman" w:hAnsi="Times New Roman" w:cs="Times New Roman"/>
          <w:sz w:val="24"/>
          <w:szCs w:val="24"/>
          <w:lang w:val="en-GB"/>
        </w:rPr>
        <w:t>”</w:t>
      </w:r>
      <w:r w:rsidR="008861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OPEC Review</w:t>
      </w:r>
      <w:r w:rsidR="0085000C" w:rsidRPr="007D2E18">
        <w:rPr>
          <w:rFonts w:ascii="Times New Roman" w:hAnsi="Times New Roman" w:cs="Times New Roman"/>
          <w:sz w:val="24"/>
          <w:szCs w:val="24"/>
          <w:lang w:val="en-GB"/>
        </w:rPr>
        <w:t xml:space="preserve"> 30</w:t>
      </w:r>
      <w:r w:rsidR="00886189"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1-18.</w:t>
      </w:r>
    </w:p>
    <w:p w14:paraId="36D77952" w14:textId="6026E9F7"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GUIDOLIN</w:t>
      </w:r>
      <w:r w:rsidR="0085000C" w:rsidRPr="007D2E18">
        <w:rPr>
          <w:rFonts w:ascii="Times New Roman" w:hAnsi="Times New Roman" w:cs="Times New Roman"/>
          <w:sz w:val="24"/>
          <w:szCs w:val="24"/>
          <w:lang w:val="en-GB"/>
        </w:rPr>
        <w:t xml:space="preserve">, M. and E. </w:t>
      </w:r>
      <w:r w:rsidRPr="007D2E18">
        <w:rPr>
          <w:rFonts w:ascii="Times New Roman" w:hAnsi="Times New Roman" w:cs="Times New Roman"/>
          <w:sz w:val="24"/>
          <w:szCs w:val="24"/>
          <w:lang w:val="en-GB"/>
        </w:rPr>
        <w:t xml:space="preserve">LA FERRARA </w:t>
      </w:r>
      <w:r w:rsidR="0085000C" w:rsidRPr="007D2E18">
        <w:rPr>
          <w:rFonts w:ascii="Times New Roman" w:hAnsi="Times New Roman" w:cs="Times New Roman"/>
          <w:sz w:val="24"/>
          <w:szCs w:val="24"/>
          <w:lang w:val="en-GB"/>
        </w:rPr>
        <w:t>(2010)</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The Economic Effects of Violent Conflict: Evidence from Asset Market Reactions</w:t>
      </w:r>
      <w:r w:rsidR="007A5589" w:rsidRPr="007D2E18">
        <w:rPr>
          <w:rFonts w:ascii="Times New Roman" w:hAnsi="Times New Roman" w:cs="Times New Roman"/>
          <w:sz w:val="24"/>
          <w:szCs w:val="24"/>
          <w:lang w:val="en-GB"/>
        </w:rPr>
        <w:t>”</w:t>
      </w:r>
      <w:r w:rsidR="000C0297"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Journal of Peace Research</w:t>
      </w:r>
      <w:r w:rsidR="0085000C" w:rsidRPr="007D2E18">
        <w:rPr>
          <w:rFonts w:ascii="Times New Roman" w:hAnsi="Times New Roman" w:cs="Times New Roman"/>
          <w:sz w:val="24"/>
          <w:szCs w:val="24"/>
          <w:lang w:val="en-GB"/>
        </w:rPr>
        <w:t xml:space="preserve"> 47</w:t>
      </w:r>
      <w:r w:rsidR="000C0297"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(6)</w:t>
      </w:r>
      <w:r w:rsidR="000C0297"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671-684.</w:t>
      </w:r>
    </w:p>
    <w:p w14:paraId="30CD24AE" w14:textId="1CACBB76"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GÜLEN</w:t>
      </w:r>
      <w:r w:rsidR="0085000C" w:rsidRPr="007D2E18">
        <w:rPr>
          <w:rFonts w:ascii="Times New Roman" w:hAnsi="Times New Roman" w:cs="Times New Roman"/>
          <w:sz w:val="24"/>
          <w:szCs w:val="24"/>
          <w:lang w:val="en-GB"/>
        </w:rPr>
        <w:t>, S.G. (1996)</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Is OPEC a Cartel? Evidence from Cointegration and Causality Tests</w:t>
      </w:r>
      <w:r w:rsidR="007A5589" w:rsidRPr="007D2E18">
        <w:rPr>
          <w:rFonts w:ascii="Times New Roman" w:hAnsi="Times New Roman" w:cs="Times New Roman"/>
          <w:sz w:val="24"/>
          <w:szCs w:val="24"/>
          <w:lang w:val="en-GB"/>
        </w:rPr>
        <w:t>”</w:t>
      </w:r>
      <w:r w:rsidR="000C0297"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The Energy Journal</w:t>
      </w:r>
      <w:r w:rsidR="0085000C" w:rsidRPr="007D2E18">
        <w:rPr>
          <w:rFonts w:ascii="Times New Roman" w:hAnsi="Times New Roman" w:cs="Times New Roman"/>
          <w:sz w:val="24"/>
          <w:szCs w:val="24"/>
          <w:lang w:val="en-GB"/>
        </w:rPr>
        <w:t xml:space="preserve"> 17</w:t>
      </w:r>
      <w:r w:rsidR="000C0297"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(2)</w:t>
      </w:r>
      <w:r w:rsidR="000C0297"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43-57.</w:t>
      </w:r>
    </w:p>
    <w:p w14:paraId="4904F583" w14:textId="00BE4C2D"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HAMILTON</w:t>
      </w:r>
      <w:r w:rsidR="0085000C" w:rsidRPr="007D2E18">
        <w:rPr>
          <w:rFonts w:ascii="Times New Roman" w:hAnsi="Times New Roman" w:cs="Times New Roman"/>
          <w:sz w:val="24"/>
          <w:szCs w:val="24"/>
          <w:lang w:val="en-GB"/>
        </w:rPr>
        <w:t>, J.D. (1994)</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Time Series Analysis</w:t>
      </w:r>
      <w:r w:rsidR="0085000C" w:rsidRPr="007D2E18">
        <w:rPr>
          <w:rFonts w:ascii="Times New Roman" w:hAnsi="Times New Roman" w:cs="Times New Roman"/>
          <w:sz w:val="24"/>
          <w:szCs w:val="24"/>
          <w:lang w:val="en-GB"/>
        </w:rPr>
        <w:t>, Princeton University Press, US.</w:t>
      </w:r>
    </w:p>
    <w:p w14:paraId="1A153A73" w14:textId="44508ED8"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HAMILTON</w:t>
      </w:r>
      <w:r w:rsidR="0085000C" w:rsidRPr="007D2E18">
        <w:rPr>
          <w:rFonts w:ascii="Times New Roman" w:hAnsi="Times New Roman" w:cs="Times New Roman"/>
          <w:sz w:val="24"/>
          <w:szCs w:val="24"/>
          <w:lang w:val="en-GB"/>
        </w:rPr>
        <w:t>, J.D. (2003)</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What is an Oil Shock?</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Journal of Econometrics</w:t>
      </w:r>
      <w:r w:rsidR="0085000C" w:rsidRPr="007D2E18">
        <w:rPr>
          <w:rFonts w:ascii="Times New Roman" w:hAnsi="Times New Roman" w:cs="Times New Roman"/>
          <w:sz w:val="24"/>
          <w:szCs w:val="24"/>
          <w:lang w:val="en-GB"/>
        </w:rPr>
        <w:t xml:space="preserve"> 113</w:t>
      </w:r>
      <w:r w:rsidR="000C0297"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(2)</w:t>
      </w:r>
      <w:r w:rsidR="000C0297"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363-398.</w:t>
      </w:r>
    </w:p>
    <w:p w14:paraId="65848539" w14:textId="1CC67696"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HAMILTON</w:t>
      </w:r>
      <w:r w:rsidR="0085000C" w:rsidRPr="007D2E18">
        <w:rPr>
          <w:rFonts w:ascii="Times New Roman" w:hAnsi="Times New Roman" w:cs="Times New Roman"/>
          <w:sz w:val="24"/>
          <w:szCs w:val="24"/>
          <w:lang w:val="en-GB"/>
        </w:rPr>
        <w:t>, J.D. (2009)</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Causes and Consequences of the Oil Shock of 2007-2008</w:t>
      </w:r>
      <w:r w:rsidR="007A5589" w:rsidRPr="007D2E18">
        <w:rPr>
          <w:rFonts w:ascii="Times New Roman" w:hAnsi="Times New Roman" w:cs="Times New Roman"/>
          <w:sz w:val="24"/>
          <w:szCs w:val="24"/>
          <w:lang w:val="en-GB"/>
        </w:rPr>
        <w:t>”</w:t>
      </w:r>
      <w:r w:rsidR="000C0297"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Brookings Papers on Economic Activity</w:t>
      </w:r>
      <w:r w:rsidR="0085000C" w:rsidRPr="007D2E18">
        <w:rPr>
          <w:rFonts w:ascii="Times New Roman" w:hAnsi="Times New Roman" w:cs="Times New Roman"/>
          <w:sz w:val="24"/>
          <w:szCs w:val="24"/>
          <w:lang w:val="en-GB"/>
        </w:rPr>
        <w:t xml:space="preserve"> (Spring)</w:t>
      </w:r>
      <w:r w:rsidR="000C0297"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215-261.</w:t>
      </w:r>
    </w:p>
    <w:p w14:paraId="52A4F26C" w14:textId="758C9E9E"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HAMMOUDEH</w:t>
      </w:r>
      <w:r w:rsidR="0085000C" w:rsidRPr="007D2E18">
        <w:rPr>
          <w:rFonts w:ascii="Times New Roman" w:hAnsi="Times New Roman" w:cs="Times New Roman"/>
          <w:sz w:val="24"/>
          <w:szCs w:val="24"/>
          <w:lang w:val="en-GB"/>
        </w:rPr>
        <w:t xml:space="preserve">, S. and E. </w:t>
      </w:r>
      <w:r w:rsidRPr="007D2E18">
        <w:rPr>
          <w:rFonts w:ascii="Times New Roman" w:hAnsi="Times New Roman" w:cs="Times New Roman"/>
          <w:sz w:val="24"/>
          <w:szCs w:val="24"/>
          <w:lang w:val="en-GB"/>
        </w:rPr>
        <w:t xml:space="preserve">ELEISA </w:t>
      </w:r>
      <w:r w:rsidR="0085000C" w:rsidRPr="007D2E18">
        <w:rPr>
          <w:rFonts w:ascii="Times New Roman" w:hAnsi="Times New Roman" w:cs="Times New Roman"/>
          <w:sz w:val="24"/>
          <w:szCs w:val="24"/>
          <w:lang w:val="en-GB"/>
        </w:rPr>
        <w:t>(2004)</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Dynamic Relationships Among the GCC Stock Markets and the NYMEX Oil Prices</w:t>
      </w:r>
      <w:r w:rsidR="007A5589" w:rsidRPr="007D2E18">
        <w:rPr>
          <w:rFonts w:ascii="Times New Roman" w:hAnsi="Times New Roman" w:cs="Times New Roman"/>
          <w:sz w:val="24"/>
          <w:szCs w:val="24"/>
          <w:lang w:val="en-GB"/>
        </w:rPr>
        <w:t>”</w:t>
      </w:r>
      <w:r w:rsidR="000C0297"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Contemporary Economic Policy</w:t>
      </w:r>
      <w:r w:rsidR="0085000C" w:rsidRPr="007D2E18">
        <w:rPr>
          <w:rFonts w:ascii="Times New Roman" w:hAnsi="Times New Roman" w:cs="Times New Roman"/>
          <w:sz w:val="24"/>
          <w:szCs w:val="24"/>
          <w:lang w:val="en-GB"/>
        </w:rPr>
        <w:t xml:space="preserve"> 22</w:t>
      </w:r>
      <w:r w:rsidR="000C0297"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(2)</w:t>
      </w:r>
      <w:r w:rsidR="000C0297"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250-269.</w:t>
      </w:r>
    </w:p>
    <w:p w14:paraId="1CD266FB" w14:textId="5BFC2921"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HAMMOUDEH</w:t>
      </w:r>
      <w:r w:rsidR="0085000C" w:rsidRPr="007D2E18">
        <w:rPr>
          <w:rFonts w:ascii="Times New Roman" w:hAnsi="Times New Roman" w:cs="Times New Roman"/>
          <w:sz w:val="24"/>
          <w:szCs w:val="24"/>
          <w:lang w:val="en-GB"/>
        </w:rPr>
        <w:t xml:space="preserve">, S. and H. </w:t>
      </w:r>
      <w:r w:rsidRPr="007D2E18">
        <w:rPr>
          <w:rFonts w:ascii="Times New Roman" w:hAnsi="Times New Roman" w:cs="Times New Roman"/>
          <w:sz w:val="24"/>
          <w:szCs w:val="24"/>
          <w:lang w:val="en-GB"/>
        </w:rPr>
        <w:t xml:space="preserve">LI </w:t>
      </w:r>
      <w:r w:rsidR="0085000C" w:rsidRPr="007D2E18">
        <w:rPr>
          <w:rFonts w:ascii="Times New Roman" w:hAnsi="Times New Roman" w:cs="Times New Roman"/>
          <w:sz w:val="24"/>
          <w:szCs w:val="24"/>
          <w:lang w:val="en-GB"/>
        </w:rPr>
        <w:t>(2004)</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The Impact of the Asian Crisis on the Behaviour of US and International Petroleum Prices</w:t>
      </w:r>
      <w:r w:rsidR="007A5589" w:rsidRPr="007D2E18">
        <w:rPr>
          <w:rFonts w:ascii="Times New Roman" w:hAnsi="Times New Roman" w:cs="Times New Roman"/>
          <w:sz w:val="24"/>
          <w:szCs w:val="24"/>
          <w:lang w:val="en-GB"/>
        </w:rPr>
        <w:t>”</w:t>
      </w:r>
      <w:r w:rsidR="000C0297"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Energy Economics</w:t>
      </w:r>
      <w:r w:rsidR="0085000C" w:rsidRPr="007D2E18">
        <w:rPr>
          <w:rFonts w:ascii="Times New Roman" w:hAnsi="Times New Roman" w:cs="Times New Roman"/>
          <w:sz w:val="24"/>
          <w:szCs w:val="24"/>
          <w:lang w:val="en-GB"/>
        </w:rPr>
        <w:t xml:space="preserve"> 26</w:t>
      </w:r>
      <w:r w:rsidR="000C0297"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(1)</w:t>
      </w:r>
      <w:r w:rsidR="000C0297"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135-160.</w:t>
      </w:r>
    </w:p>
    <w:p w14:paraId="4EC57E21" w14:textId="4A8ADF9B"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HARVEY</w:t>
      </w:r>
      <w:r w:rsidR="0085000C" w:rsidRPr="007D2E18">
        <w:rPr>
          <w:rFonts w:ascii="Times New Roman" w:hAnsi="Times New Roman" w:cs="Times New Roman"/>
          <w:sz w:val="24"/>
          <w:szCs w:val="24"/>
          <w:lang w:val="en-GB"/>
        </w:rPr>
        <w:t>, A.C. (1990)</w:t>
      </w:r>
      <w:r w:rsidR="00234EC8"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The Econometric Analysis of Time Series</w:t>
      </w:r>
      <w:r w:rsidR="0085000C" w:rsidRPr="007D2E18">
        <w:rPr>
          <w:rFonts w:ascii="Times New Roman" w:hAnsi="Times New Roman" w:cs="Times New Roman"/>
          <w:sz w:val="24"/>
          <w:szCs w:val="24"/>
          <w:lang w:val="en-GB"/>
        </w:rPr>
        <w:t>, Second Edition, Phillip Allan, UK.</w:t>
      </w:r>
    </w:p>
    <w:p w14:paraId="433C783E" w14:textId="5A50B5B9"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HOCHMAN</w:t>
      </w:r>
      <w:r w:rsidR="0085000C" w:rsidRPr="007D2E18">
        <w:rPr>
          <w:rFonts w:ascii="Times New Roman" w:hAnsi="Times New Roman" w:cs="Times New Roman"/>
          <w:sz w:val="24"/>
          <w:szCs w:val="24"/>
          <w:lang w:val="en-GB"/>
        </w:rPr>
        <w:t xml:space="preserve">, G. and D. </w:t>
      </w:r>
      <w:r w:rsidRPr="007D2E18">
        <w:rPr>
          <w:rFonts w:ascii="Times New Roman" w:hAnsi="Times New Roman" w:cs="Times New Roman"/>
          <w:sz w:val="24"/>
          <w:szCs w:val="24"/>
          <w:lang w:val="en-GB"/>
        </w:rPr>
        <w:t xml:space="preserve">ZILBERMAN </w:t>
      </w:r>
      <w:r w:rsidR="0085000C" w:rsidRPr="007D2E18">
        <w:rPr>
          <w:rFonts w:ascii="Times New Roman" w:hAnsi="Times New Roman" w:cs="Times New Roman"/>
          <w:sz w:val="24"/>
          <w:szCs w:val="24"/>
          <w:lang w:val="en-GB"/>
        </w:rPr>
        <w:t>(2015)</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The Political Economy of OPEC</w:t>
      </w:r>
      <w:r w:rsidR="007A5589" w:rsidRPr="007D2E18">
        <w:rPr>
          <w:rFonts w:ascii="Times New Roman" w:hAnsi="Times New Roman" w:cs="Times New Roman"/>
          <w:sz w:val="24"/>
          <w:szCs w:val="24"/>
          <w:lang w:val="en-GB"/>
        </w:rPr>
        <w:t>”</w:t>
      </w:r>
      <w:r w:rsidR="00FF1C71"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Energy Economics</w:t>
      </w:r>
      <w:r w:rsidR="0085000C" w:rsidRPr="007D2E18">
        <w:rPr>
          <w:rFonts w:ascii="Times New Roman" w:hAnsi="Times New Roman" w:cs="Times New Roman"/>
          <w:sz w:val="24"/>
          <w:szCs w:val="24"/>
          <w:lang w:val="en-GB"/>
        </w:rPr>
        <w:t xml:space="preserve"> 48</w:t>
      </w:r>
      <w:r w:rsidR="00FF1C71"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203-216.</w:t>
      </w:r>
    </w:p>
    <w:p w14:paraId="23E04AF0" w14:textId="6322EDA3"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HORAN</w:t>
      </w:r>
      <w:r w:rsidR="0085000C" w:rsidRPr="007D2E18">
        <w:rPr>
          <w:rFonts w:ascii="Times New Roman" w:hAnsi="Times New Roman" w:cs="Times New Roman"/>
          <w:sz w:val="24"/>
          <w:szCs w:val="24"/>
          <w:lang w:val="en-GB"/>
        </w:rPr>
        <w:t xml:space="preserve">, S.M., J.H. </w:t>
      </w:r>
      <w:r w:rsidRPr="007D2E18">
        <w:rPr>
          <w:rFonts w:ascii="Times New Roman" w:hAnsi="Times New Roman" w:cs="Times New Roman"/>
          <w:sz w:val="24"/>
          <w:szCs w:val="24"/>
          <w:lang w:val="en-GB"/>
        </w:rPr>
        <w:t>PETERSON</w:t>
      </w:r>
      <w:r w:rsidR="0085000C" w:rsidRPr="007D2E18">
        <w:rPr>
          <w:rFonts w:ascii="Times New Roman" w:hAnsi="Times New Roman" w:cs="Times New Roman"/>
          <w:sz w:val="24"/>
          <w:szCs w:val="24"/>
          <w:lang w:val="en-GB"/>
        </w:rPr>
        <w:t xml:space="preserve">, and J. </w:t>
      </w:r>
      <w:r w:rsidRPr="007D2E18">
        <w:rPr>
          <w:rFonts w:ascii="Times New Roman" w:hAnsi="Times New Roman" w:cs="Times New Roman"/>
          <w:sz w:val="24"/>
          <w:szCs w:val="24"/>
          <w:lang w:val="en-GB"/>
        </w:rPr>
        <w:t xml:space="preserve">MAHAR </w:t>
      </w:r>
      <w:r w:rsidR="0085000C" w:rsidRPr="007D2E18">
        <w:rPr>
          <w:rFonts w:ascii="Times New Roman" w:hAnsi="Times New Roman" w:cs="Times New Roman"/>
          <w:sz w:val="24"/>
          <w:szCs w:val="24"/>
          <w:lang w:val="en-GB"/>
        </w:rPr>
        <w:t>(2004)</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Implied Volatility of Oil Futures Options Surrounding OPEC Meetings</w:t>
      </w:r>
      <w:r w:rsidR="007A5589" w:rsidRPr="007D2E18">
        <w:rPr>
          <w:rFonts w:ascii="Times New Roman" w:hAnsi="Times New Roman" w:cs="Times New Roman"/>
          <w:sz w:val="24"/>
          <w:szCs w:val="24"/>
          <w:lang w:val="en-GB"/>
        </w:rPr>
        <w:t>”</w:t>
      </w:r>
      <w:r w:rsidR="00FF1C71"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The Energy Journal</w:t>
      </w:r>
      <w:r w:rsidR="0085000C" w:rsidRPr="007D2E18">
        <w:rPr>
          <w:rFonts w:ascii="Times New Roman" w:hAnsi="Times New Roman" w:cs="Times New Roman"/>
          <w:sz w:val="24"/>
          <w:szCs w:val="24"/>
          <w:lang w:val="en-GB"/>
        </w:rPr>
        <w:t xml:space="preserve"> 25</w:t>
      </w:r>
      <w:r w:rsidR="00FF1C71"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(3)</w:t>
      </w:r>
      <w:r w:rsidR="00FF1C71"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103-125.</w:t>
      </w:r>
    </w:p>
    <w:p w14:paraId="3F53747E" w14:textId="0FF53816"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HSIAO</w:t>
      </w:r>
      <w:r w:rsidR="0085000C" w:rsidRPr="007D2E18">
        <w:rPr>
          <w:rFonts w:ascii="Times New Roman" w:hAnsi="Times New Roman" w:cs="Times New Roman"/>
          <w:sz w:val="24"/>
          <w:szCs w:val="24"/>
          <w:lang w:val="en-GB"/>
        </w:rPr>
        <w:t>, C. (1981)</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Autoregressive Modelling and Money-Income Causality Detection</w:t>
      </w:r>
      <w:r w:rsidR="007A5589" w:rsidRPr="007D2E18">
        <w:rPr>
          <w:rFonts w:ascii="Times New Roman" w:hAnsi="Times New Roman" w:cs="Times New Roman"/>
          <w:sz w:val="24"/>
          <w:szCs w:val="24"/>
          <w:lang w:val="en-GB"/>
        </w:rPr>
        <w:t>”</w:t>
      </w:r>
      <w:r w:rsidR="00FF1C71"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Journal of Monetary Economics</w:t>
      </w:r>
      <w:r w:rsidR="0085000C" w:rsidRPr="007D2E18">
        <w:rPr>
          <w:rFonts w:ascii="Times New Roman" w:hAnsi="Times New Roman" w:cs="Times New Roman"/>
          <w:sz w:val="24"/>
          <w:szCs w:val="24"/>
          <w:lang w:val="en-GB"/>
        </w:rPr>
        <w:t xml:space="preserve"> 7</w:t>
      </w:r>
      <w:r w:rsidR="00FF1C71"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85-106.</w:t>
      </w:r>
    </w:p>
    <w:p w14:paraId="5A2811CB" w14:textId="7AEE9B6F"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HYNDMAN</w:t>
      </w:r>
      <w:r w:rsidR="0085000C" w:rsidRPr="007D2E18">
        <w:rPr>
          <w:rFonts w:ascii="Times New Roman" w:hAnsi="Times New Roman" w:cs="Times New Roman"/>
          <w:sz w:val="24"/>
          <w:szCs w:val="24"/>
          <w:lang w:val="en-GB"/>
        </w:rPr>
        <w:t>, K. (2008)</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Disagreement in Bargaining: An Empirical Analysis of OPEC</w:t>
      </w:r>
      <w:r w:rsidR="007A5589" w:rsidRPr="007D2E18">
        <w:rPr>
          <w:rFonts w:ascii="Times New Roman" w:hAnsi="Times New Roman" w:cs="Times New Roman"/>
          <w:sz w:val="24"/>
          <w:szCs w:val="24"/>
          <w:lang w:val="en-GB"/>
        </w:rPr>
        <w:t>”</w:t>
      </w:r>
      <w:r w:rsidR="00FF1C71"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International Journal of Industrial Organisation</w:t>
      </w:r>
      <w:r w:rsidR="0085000C" w:rsidRPr="007D2E18">
        <w:rPr>
          <w:rFonts w:ascii="Times New Roman" w:hAnsi="Times New Roman" w:cs="Times New Roman"/>
          <w:sz w:val="24"/>
          <w:szCs w:val="24"/>
          <w:lang w:val="en-GB"/>
        </w:rPr>
        <w:t xml:space="preserve"> 26</w:t>
      </w:r>
      <w:r w:rsidR="00FF1C71"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811-828.</w:t>
      </w:r>
    </w:p>
    <w:p w14:paraId="19FCC80A" w14:textId="5A83000B"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JONES</w:t>
      </w:r>
      <w:r w:rsidR="0085000C" w:rsidRPr="007D2E18">
        <w:rPr>
          <w:rFonts w:ascii="Times New Roman" w:hAnsi="Times New Roman" w:cs="Times New Roman"/>
          <w:sz w:val="24"/>
          <w:szCs w:val="24"/>
          <w:lang w:val="en-GB"/>
        </w:rPr>
        <w:t>, C.T. (1990)</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OPEC Behaviour under Falling Prices: Implications for Cartel Stability</w:t>
      </w:r>
      <w:r w:rsidR="007A5589" w:rsidRPr="007D2E18">
        <w:rPr>
          <w:rFonts w:ascii="Times New Roman" w:hAnsi="Times New Roman" w:cs="Times New Roman"/>
          <w:sz w:val="24"/>
          <w:szCs w:val="24"/>
          <w:lang w:val="en-GB"/>
        </w:rPr>
        <w:t>”</w:t>
      </w:r>
      <w:r w:rsidR="00FF1C71"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The Energy Journal</w:t>
      </w:r>
      <w:r w:rsidR="0085000C" w:rsidRPr="007D2E18">
        <w:rPr>
          <w:rFonts w:ascii="Times New Roman" w:hAnsi="Times New Roman" w:cs="Times New Roman"/>
          <w:sz w:val="24"/>
          <w:szCs w:val="24"/>
          <w:lang w:val="en-GB"/>
        </w:rPr>
        <w:t xml:space="preserve"> 11</w:t>
      </w:r>
      <w:r w:rsidR="00FF1C71"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(3)</w:t>
      </w:r>
      <w:r w:rsidR="00FF1C71"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117-129.</w:t>
      </w:r>
    </w:p>
    <w:p w14:paraId="3534C611" w14:textId="79A8164A"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JOO</w:t>
      </w:r>
      <w:r w:rsidR="0085000C" w:rsidRPr="007D2E18">
        <w:rPr>
          <w:rFonts w:ascii="Times New Roman" w:hAnsi="Times New Roman" w:cs="Times New Roman"/>
          <w:sz w:val="24"/>
          <w:szCs w:val="24"/>
          <w:lang w:val="en-GB"/>
        </w:rPr>
        <w:t xml:space="preserve">, Y.C. and S.Y. </w:t>
      </w:r>
      <w:r w:rsidRPr="007D2E18">
        <w:rPr>
          <w:rFonts w:ascii="Times New Roman" w:hAnsi="Times New Roman" w:cs="Times New Roman"/>
          <w:sz w:val="24"/>
          <w:szCs w:val="24"/>
          <w:lang w:val="en-GB"/>
        </w:rPr>
        <w:t xml:space="preserve">PARK </w:t>
      </w:r>
      <w:r w:rsidR="0085000C" w:rsidRPr="007D2E18">
        <w:rPr>
          <w:rFonts w:ascii="Times New Roman" w:hAnsi="Times New Roman" w:cs="Times New Roman"/>
          <w:sz w:val="24"/>
          <w:szCs w:val="24"/>
          <w:lang w:val="en-GB"/>
        </w:rPr>
        <w:t>(2017)</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Oil Prices and Stock Markets: Does the Effect of Uncertainty Change over Time?</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Energy Economics</w:t>
      </w:r>
      <w:r w:rsidR="0085000C" w:rsidRPr="007D2E18">
        <w:rPr>
          <w:rFonts w:ascii="Times New Roman" w:hAnsi="Times New Roman" w:cs="Times New Roman"/>
          <w:sz w:val="24"/>
          <w:szCs w:val="24"/>
          <w:lang w:val="en-GB"/>
        </w:rPr>
        <w:t xml:space="preserve"> 61</w:t>
      </w:r>
      <w:r w:rsidR="00FF1C71"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42-51.</w:t>
      </w:r>
    </w:p>
    <w:p w14:paraId="7B7FAA58" w14:textId="64ACB574"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JURADO</w:t>
      </w:r>
      <w:r w:rsidR="0085000C" w:rsidRPr="007D2E18">
        <w:rPr>
          <w:rFonts w:ascii="Times New Roman" w:hAnsi="Times New Roman" w:cs="Times New Roman"/>
          <w:sz w:val="24"/>
          <w:szCs w:val="24"/>
          <w:lang w:val="en-GB"/>
        </w:rPr>
        <w:t xml:space="preserve">, K., S. </w:t>
      </w:r>
      <w:r w:rsidRPr="007D2E18">
        <w:rPr>
          <w:rFonts w:ascii="Times New Roman" w:hAnsi="Times New Roman" w:cs="Times New Roman"/>
          <w:sz w:val="24"/>
          <w:szCs w:val="24"/>
          <w:lang w:val="en-GB"/>
        </w:rPr>
        <w:t>LUDVIGSON</w:t>
      </w:r>
      <w:r w:rsidR="0085000C" w:rsidRPr="007D2E18">
        <w:rPr>
          <w:rFonts w:ascii="Times New Roman" w:hAnsi="Times New Roman" w:cs="Times New Roman"/>
          <w:sz w:val="24"/>
          <w:szCs w:val="24"/>
          <w:lang w:val="en-GB"/>
        </w:rPr>
        <w:t xml:space="preserve">, and S. </w:t>
      </w:r>
      <w:r w:rsidRPr="007D2E18">
        <w:rPr>
          <w:rFonts w:ascii="Times New Roman" w:hAnsi="Times New Roman" w:cs="Times New Roman"/>
          <w:sz w:val="24"/>
          <w:szCs w:val="24"/>
          <w:lang w:val="en-GB"/>
        </w:rPr>
        <w:t xml:space="preserve">NG </w:t>
      </w:r>
      <w:r w:rsidR="0085000C" w:rsidRPr="007D2E18">
        <w:rPr>
          <w:rFonts w:ascii="Times New Roman" w:hAnsi="Times New Roman" w:cs="Times New Roman"/>
          <w:sz w:val="24"/>
          <w:szCs w:val="24"/>
          <w:lang w:val="en-GB"/>
        </w:rPr>
        <w:t>(2015)</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Measuring Uncertainty</w:t>
      </w:r>
      <w:r w:rsidR="007A5589" w:rsidRPr="007D2E18">
        <w:rPr>
          <w:rFonts w:ascii="Times New Roman" w:hAnsi="Times New Roman" w:cs="Times New Roman"/>
          <w:sz w:val="24"/>
          <w:szCs w:val="24"/>
          <w:lang w:val="en-GB"/>
        </w:rPr>
        <w:t>”</w:t>
      </w:r>
      <w:r w:rsidR="00FF1C71"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American Economic Review</w:t>
      </w:r>
      <w:r w:rsidR="0085000C" w:rsidRPr="007D2E18">
        <w:rPr>
          <w:rFonts w:ascii="Times New Roman" w:hAnsi="Times New Roman" w:cs="Times New Roman"/>
          <w:sz w:val="24"/>
          <w:szCs w:val="24"/>
          <w:lang w:val="en-GB"/>
        </w:rPr>
        <w:t xml:space="preserve"> 105</w:t>
      </w:r>
      <w:r w:rsidR="00FF1C71"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(3)</w:t>
      </w:r>
      <w:r w:rsidR="00FF1C71"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1177-1216.</w:t>
      </w:r>
    </w:p>
    <w:p w14:paraId="4AE4A680" w14:textId="6BFCE575"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KANG</w:t>
      </w:r>
      <w:r w:rsidR="0085000C" w:rsidRPr="007D2E18">
        <w:rPr>
          <w:rFonts w:ascii="Times New Roman" w:hAnsi="Times New Roman" w:cs="Times New Roman"/>
          <w:sz w:val="24"/>
          <w:szCs w:val="24"/>
          <w:lang w:val="en-GB"/>
        </w:rPr>
        <w:t xml:space="preserve">, W. and R.A. </w:t>
      </w:r>
      <w:r w:rsidRPr="007D2E18">
        <w:rPr>
          <w:rFonts w:ascii="Times New Roman" w:hAnsi="Times New Roman" w:cs="Times New Roman"/>
          <w:sz w:val="24"/>
          <w:szCs w:val="24"/>
          <w:lang w:val="en-GB"/>
        </w:rPr>
        <w:t xml:space="preserve">RATTI </w:t>
      </w:r>
      <w:r w:rsidR="0085000C" w:rsidRPr="007D2E18">
        <w:rPr>
          <w:rFonts w:ascii="Times New Roman" w:hAnsi="Times New Roman" w:cs="Times New Roman"/>
          <w:sz w:val="24"/>
          <w:szCs w:val="24"/>
          <w:lang w:val="en-GB"/>
        </w:rPr>
        <w:t>(2013a)</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Oil Shocks, Policy Uncertainty and Stock Market Return</w:t>
      </w:r>
      <w:r w:rsidR="007A5589" w:rsidRPr="007D2E18">
        <w:rPr>
          <w:rFonts w:ascii="Times New Roman" w:hAnsi="Times New Roman" w:cs="Times New Roman"/>
          <w:sz w:val="24"/>
          <w:szCs w:val="24"/>
          <w:lang w:val="en-GB"/>
        </w:rPr>
        <w:t>”</w:t>
      </w:r>
      <w:r w:rsidR="00FF1C71"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Journal of International Financial Markets, Institutions and Money</w:t>
      </w:r>
      <w:r w:rsidR="0085000C" w:rsidRPr="007D2E18">
        <w:rPr>
          <w:rFonts w:ascii="Times New Roman" w:hAnsi="Times New Roman" w:cs="Times New Roman"/>
          <w:sz w:val="24"/>
          <w:szCs w:val="24"/>
          <w:lang w:val="en-GB"/>
        </w:rPr>
        <w:t xml:space="preserve"> 26</w:t>
      </w:r>
      <w:r w:rsidR="00FF1C71"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305-318.</w:t>
      </w:r>
    </w:p>
    <w:p w14:paraId="388D9B61" w14:textId="14C53095"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KANG</w:t>
      </w:r>
      <w:r w:rsidR="0085000C" w:rsidRPr="007D2E18">
        <w:rPr>
          <w:rFonts w:ascii="Times New Roman" w:hAnsi="Times New Roman" w:cs="Times New Roman"/>
          <w:sz w:val="24"/>
          <w:szCs w:val="24"/>
          <w:lang w:val="en-GB"/>
        </w:rPr>
        <w:t xml:space="preserve">, W. and R.A. </w:t>
      </w:r>
      <w:r w:rsidRPr="007D2E18">
        <w:rPr>
          <w:rFonts w:ascii="Times New Roman" w:hAnsi="Times New Roman" w:cs="Times New Roman"/>
          <w:sz w:val="24"/>
          <w:szCs w:val="24"/>
          <w:lang w:val="en-GB"/>
        </w:rPr>
        <w:t xml:space="preserve">RATTI </w:t>
      </w:r>
      <w:r w:rsidR="0085000C" w:rsidRPr="007D2E18">
        <w:rPr>
          <w:rFonts w:ascii="Times New Roman" w:hAnsi="Times New Roman" w:cs="Times New Roman"/>
          <w:sz w:val="24"/>
          <w:szCs w:val="24"/>
          <w:lang w:val="en-GB"/>
        </w:rPr>
        <w:t>(2013b)</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Structural Oil Price Shocks and Policy Uncertainty</w:t>
      </w:r>
      <w:r w:rsidR="007A5589" w:rsidRPr="007D2E18">
        <w:rPr>
          <w:rFonts w:ascii="Times New Roman" w:hAnsi="Times New Roman" w:cs="Times New Roman"/>
          <w:sz w:val="24"/>
          <w:szCs w:val="24"/>
          <w:lang w:val="en-GB"/>
        </w:rPr>
        <w:t>”</w:t>
      </w:r>
      <w:r w:rsidR="00FF1C71"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Economic Modelling</w:t>
      </w:r>
      <w:r w:rsidR="0085000C" w:rsidRPr="007D2E18">
        <w:rPr>
          <w:rFonts w:ascii="Times New Roman" w:hAnsi="Times New Roman" w:cs="Times New Roman"/>
          <w:sz w:val="24"/>
          <w:szCs w:val="24"/>
          <w:lang w:val="en-GB"/>
        </w:rPr>
        <w:t xml:space="preserve"> 35</w:t>
      </w:r>
      <w:r w:rsidR="00FF1C71"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314-319.</w:t>
      </w:r>
    </w:p>
    <w:p w14:paraId="32640D4D" w14:textId="51CFACED"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lastRenderedPageBreak/>
        <w:t>KAUFMANN</w:t>
      </w:r>
      <w:r w:rsidR="0085000C" w:rsidRPr="007D2E18">
        <w:rPr>
          <w:rFonts w:ascii="Times New Roman" w:hAnsi="Times New Roman" w:cs="Times New Roman"/>
          <w:sz w:val="24"/>
          <w:szCs w:val="24"/>
          <w:lang w:val="en-GB"/>
        </w:rPr>
        <w:t xml:space="preserve">, R.K., S. </w:t>
      </w:r>
      <w:r w:rsidRPr="007D2E18">
        <w:rPr>
          <w:rFonts w:ascii="Times New Roman" w:hAnsi="Times New Roman" w:cs="Times New Roman"/>
          <w:sz w:val="24"/>
          <w:szCs w:val="24"/>
          <w:lang w:val="en-GB"/>
        </w:rPr>
        <w:t>DEES</w:t>
      </w:r>
      <w:r w:rsidR="0085000C" w:rsidRPr="007D2E18">
        <w:rPr>
          <w:rFonts w:ascii="Times New Roman" w:hAnsi="Times New Roman" w:cs="Times New Roman"/>
          <w:sz w:val="24"/>
          <w:szCs w:val="24"/>
          <w:lang w:val="en-GB"/>
        </w:rPr>
        <w:t xml:space="preserve">, P. </w:t>
      </w:r>
      <w:r w:rsidRPr="007D2E18">
        <w:rPr>
          <w:rFonts w:ascii="Times New Roman" w:hAnsi="Times New Roman" w:cs="Times New Roman"/>
          <w:sz w:val="24"/>
          <w:szCs w:val="24"/>
          <w:lang w:val="en-GB"/>
        </w:rPr>
        <w:t>KARADELOGLOU</w:t>
      </w:r>
      <w:r w:rsidR="0085000C" w:rsidRPr="007D2E18">
        <w:rPr>
          <w:rFonts w:ascii="Times New Roman" w:hAnsi="Times New Roman" w:cs="Times New Roman"/>
          <w:sz w:val="24"/>
          <w:szCs w:val="24"/>
          <w:lang w:val="en-GB"/>
        </w:rPr>
        <w:t xml:space="preserve">, and M. </w:t>
      </w:r>
      <w:r w:rsidRPr="007D2E18">
        <w:rPr>
          <w:rFonts w:ascii="Times New Roman" w:hAnsi="Times New Roman" w:cs="Times New Roman"/>
          <w:sz w:val="24"/>
          <w:szCs w:val="24"/>
          <w:lang w:val="en-GB"/>
        </w:rPr>
        <w:t xml:space="preserve">SÁNCHEZ </w:t>
      </w:r>
      <w:r w:rsidR="0085000C" w:rsidRPr="007D2E18">
        <w:rPr>
          <w:rFonts w:ascii="Times New Roman" w:hAnsi="Times New Roman" w:cs="Times New Roman"/>
          <w:sz w:val="24"/>
          <w:szCs w:val="24"/>
          <w:lang w:val="en-GB"/>
        </w:rPr>
        <w:t>(2004)</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Does OPEC Matter? An Econometric Analysis of Oil Prices</w:t>
      </w:r>
      <w:r w:rsidR="007A5589" w:rsidRPr="007D2E18">
        <w:rPr>
          <w:rFonts w:ascii="Times New Roman" w:hAnsi="Times New Roman" w:cs="Times New Roman"/>
          <w:sz w:val="24"/>
          <w:szCs w:val="24"/>
          <w:lang w:val="en-GB"/>
        </w:rPr>
        <w:t>”</w:t>
      </w:r>
      <w:r w:rsidR="00FF1C71"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The Energy Journal</w:t>
      </w:r>
      <w:r w:rsidR="0085000C" w:rsidRPr="007D2E18">
        <w:rPr>
          <w:rFonts w:ascii="Times New Roman" w:hAnsi="Times New Roman" w:cs="Times New Roman"/>
          <w:sz w:val="24"/>
          <w:szCs w:val="24"/>
          <w:lang w:val="en-GB"/>
        </w:rPr>
        <w:t xml:space="preserve"> 25</w:t>
      </w:r>
      <w:r w:rsidR="00FF1C71"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(4)</w:t>
      </w:r>
      <w:r w:rsidR="00FF1C71"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67-90.</w:t>
      </w:r>
    </w:p>
    <w:p w14:paraId="424E47B0" w14:textId="1728A9BC"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KOLLIAS</w:t>
      </w:r>
      <w:r w:rsidR="0085000C" w:rsidRPr="007D2E18">
        <w:rPr>
          <w:rFonts w:ascii="Times New Roman" w:hAnsi="Times New Roman" w:cs="Times New Roman"/>
          <w:sz w:val="24"/>
          <w:szCs w:val="24"/>
          <w:lang w:val="en-GB"/>
        </w:rPr>
        <w:t xml:space="preserve">, C., C. </w:t>
      </w:r>
      <w:r w:rsidRPr="007D2E18">
        <w:rPr>
          <w:rFonts w:ascii="Times New Roman" w:hAnsi="Times New Roman" w:cs="Times New Roman"/>
          <w:sz w:val="24"/>
          <w:szCs w:val="24"/>
          <w:lang w:val="en-GB"/>
        </w:rPr>
        <w:t>KYRTSOU</w:t>
      </w:r>
      <w:r w:rsidR="0085000C" w:rsidRPr="007D2E18">
        <w:rPr>
          <w:rFonts w:ascii="Times New Roman" w:hAnsi="Times New Roman" w:cs="Times New Roman"/>
          <w:sz w:val="24"/>
          <w:szCs w:val="24"/>
          <w:lang w:val="en-GB"/>
        </w:rPr>
        <w:t xml:space="preserve">, and S. </w:t>
      </w:r>
      <w:r w:rsidRPr="007D2E18">
        <w:rPr>
          <w:rFonts w:ascii="Times New Roman" w:hAnsi="Times New Roman" w:cs="Times New Roman"/>
          <w:sz w:val="24"/>
          <w:szCs w:val="24"/>
          <w:lang w:val="en-GB"/>
        </w:rPr>
        <w:t xml:space="preserve">PAPADAMOU </w:t>
      </w:r>
      <w:r w:rsidR="0085000C" w:rsidRPr="007D2E18">
        <w:rPr>
          <w:rFonts w:ascii="Times New Roman" w:hAnsi="Times New Roman" w:cs="Times New Roman"/>
          <w:sz w:val="24"/>
          <w:szCs w:val="24"/>
          <w:lang w:val="en-GB"/>
        </w:rPr>
        <w:t>(2013)</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The Effects of Terrorism and War on the Oil Price-Stock Index Relationship</w:t>
      </w:r>
      <w:r w:rsidR="007A5589" w:rsidRPr="007D2E18">
        <w:rPr>
          <w:rFonts w:ascii="Times New Roman" w:hAnsi="Times New Roman" w:cs="Times New Roman"/>
          <w:sz w:val="24"/>
          <w:szCs w:val="24"/>
          <w:lang w:val="en-GB"/>
        </w:rPr>
        <w:t>”</w:t>
      </w:r>
      <w:r w:rsidR="00FF1C71"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Energy Economics</w:t>
      </w:r>
      <w:r w:rsidR="0085000C" w:rsidRPr="007D2E18">
        <w:rPr>
          <w:rFonts w:ascii="Times New Roman" w:hAnsi="Times New Roman" w:cs="Times New Roman"/>
          <w:sz w:val="24"/>
          <w:szCs w:val="24"/>
          <w:lang w:val="en-GB"/>
        </w:rPr>
        <w:t xml:space="preserve"> 40</w:t>
      </w:r>
      <w:r w:rsidR="00FF1C71"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(6)</w:t>
      </w:r>
      <w:r w:rsidR="00FF1C71"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743-752.</w:t>
      </w:r>
    </w:p>
    <w:p w14:paraId="54F041ED" w14:textId="066253CB"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LIN</w:t>
      </w:r>
      <w:r w:rsidR="0085000C" w:rsidRPr="007D2E18">
        <w:rPr>
          <w:rFonts w:ascii="Times New Roman" w:hAnsi="Times New Roman" w:cs="Times New Roman"/>
          <w:sz w:val="24"/>
          <w:szCs w:val="24"/>
          <w:lang w:val="en-GB"/>
        </w:rPr>
        <w:t xml:space="preserve">, S.X. and M. </w:t>
      </w:r>
      <w:r w:rsidRPr="007D2E18">
        <w:rPr>
          <w:rFonts w:ascii="Times New Roman" w:hAnsi="Times New Roman" w:cs="Times New Roman"/>
          <w:sz w:val="24"/>
          <w:szCs w:val="24"/>
          <w:lang w:val="en-GB"/>
        </w:rPr>
        <w:t xml:space="preserve">TAMVAKIS </w:t>
      </w:r>
      <w:r w:rsidR="0085000C" w:rsidRPr="007D2E18">
        <w:rPr>
          <w:rFonts w:ascii="Times New Roman" w:hAnsi="Times New Roman" w:cs="Times New Roman"/>
          <w:sz w:val="24"/>
          <w:szCs w:val="24"/>
          <w:lang w:val="en-GB"/>
        </w:rPr>
        <w:t>(2010)</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OPEC Announcements and Their Effects on Crude Oil Prices,</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The Energy Journal</w:t>
      </w:r>
      <w:r w:rsidR="0085000C" w:rsidRPr="007D2E18">
        <w:rPr>
          <w:rFonts w:ascii="Times New Roman" w:hAnsi="Times New Roman" w:cs="Times New Roman"/>
          <w:sz w:val="24"/>
          <w:szCs w:val="24"/>
          <w:lang w:val="en-GB"/>
        </w:rPr>
        <w:t xml:space="preserve"> 38</w:t>
      </w:r>
      <w:r w:rsidR="00FF1C71"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(2)</w:t>
      </w:r>
      <w:r w:rsidR="00FF1C71"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1010-1016.</w:t>
      </w:r>
    </w:p>
    <w:p w14:paraId="5819AD00" w14:textId="063F720C"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LODERER</w:t>
      </w:r>
      <w:r w:rsidR="0085000C" w:rsidRPr="007D2E18">
        <w:rPr>
          <w:rFonts w:ascii="Times New Roman" w:hAnsi="Times New Roman" w:cs="Times New Roman"/>
          <w:sz w:val="24"/>
          <w:szCs w:val="24"/>
          <w:lang w:val="en-GB"/>
        </w:rPr>
        <w:t>, C. (1985)</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A Test of OPEC Cartel Hypothesis: 1974-1983,</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Journal of Finance</w:t>
      </w:r>
      <w:r w:rsidR="0085000C" w:rsidRPr="007D2E18">
        <w:rPr>
          <w:rFonts w:ascii="Times New Roman" w:hAnsi="Times New Roman" w:cs="Times New Roman"/>
          <w:sz w:val="24"/>
          <w:szCs w:val="24"/>
          <w:lang w:val="en-GB"/>
        </w:rPr>
        <w:t xml:space="preserve"> 40</w:t>
      </w:r>
      <w:r w:rsidR="00FF1C71"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(3)</w:t>
      </w:r>
      <w:r w:rsidR="00FF1C71"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991-1006.</w:t>
      </w:r>
    </w:p>
    <w:p w14:paraId="45150EBE" w14:textId="2A94E2E7" w:rsidR="0085000C" w:rsidRPr="007D2E18" w:rsidRDefault="00AF71F7"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LÓPEZ</w:t>
      </w:r>
      <w:r w:rsidR="0085000C" w:rsidRPr="007D2E18">
        <w:rPr>
          <w:rFonts w:ascii="Times New Roman" w:hAnsi="Times New Roman" w:cs="Times New Roman"/>
          <w:sz w:val="24"/>
          <w:szCs w:val="24"/>
          <w:lang w:val="en-GB"/>
        </w:rPr>
        <w:t xml:space="preserve">, E. and E. </w:t>
      </w:r>
      <w:r w:rsidRPr="007D2E18">
        <w:rPr>
          <w:rFonts w:ascii="Times New Roman" w:hAnsi="Times New Roman" w:cs="Times New Roman"/>
          <w:sz w:val="24"/>
          <w:szCs w:val="24"/>
          <w:lang w:val="en-GB"/>
        </w:rPr>
        <w:t xml:space="preserve">MUÑOZ </w:t>
      </w:r>
      <w:r w:rsidR="0085000C" w:rsidRPr="007D2E18">
        <w:rPr>
          <w:rFonts w:ascii="Times New Roman" w:hAnsi="Times New Roman" w:cs="Times New Roman"/>
          <w:sz w:val="24"/>
          <w:szCs w:val="24"/>
          <w:lang w:val="en-GB"/>
        </w:rPr>
        <w:t>(2012)</w:t>
      </w:r>
      <w:r w:rsidR="00234EC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i/>
          <w:iCs/>
          <w:sz w:val="24"/>
          <w:szCs w:val="24"/>
          <w:lang w:val="en-GB"/>
        </w:rPr>
        <w:t>Oil Price: Geopolitical Tensions and Production Events</w:t>
      </w:r>
      <w:r w:rsidR="007A5589" w:rsidRPr="007D2E18">
        <w:rPr>
          <w:rFonts w:ascii="Times New Roman" w:hAnsi="Times New Roman" w:cs="Times New Roman"/>
          <w:sz w:val="24"/>
          <w:szCs w:val="24"/>
          <w:lang w:val="en-GB"/>
        </w:rPr>
        <w:t>”</w:t>
      </w:r>
      <w:r w:rsidR="007D2E1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[bodytext in Spanish; appendix in English] Working Paper 680, Central Bank of Chile.</w:t>
      </w:r>
    </w:p>
    <w:p w14:paraId="53E36B8F" w14:textId="0F876166" w:rsidR="0085000C" w:rsidRPr="007D2E18" w:rsidRDefault="00234EC8"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MACAVOY</w:t>
      </w:r>
      <w:r w:rsidR="0085000C" w:rsidRPr="007D2E18">
        <w:rPr>
          <w:rFonts w:ascii="Times New Roman" w:hAnsi="Times New Roman" w:cs="Times New Roman"/>
          <w:sz w:val="24"/>
          <w:szCs w:val="24"/>
          <w:lang w:val="en-GB"/>
        </w:rPr>
        <w:t>, P.W. (1982)</w:t>
      </w:r>
      <w:r w:rsidR="008F4D10"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Crude Oil Prices: As Determined by OPEC and Market Fundamentals</w:t>
      </w:r>
      <w:r w:rsidR="0085000C" w:rsidRPr="007D2E18">
        <w:rPr>
          <w:rFonts w:ascii="Times New Roman" w:hAnsi="Times New Roman" w:cs="Times New Roman"/>
          <w:sz w:val="24"/>
          <w:szCs w:val="24"/>
          <w:lang w:val="en-GB"/>
        </w:rPr>
        <w:t>, Harper &amp; Row, Balinger, Cambridge, UK.</w:t>
      </w:r>
    </w:p>
    <w:p w14:paraId="197DBE3D" w14:textId="6AB52D59" w:rsidR="0085000C" w:rsidRPr="007D2E18" w:rsidRDefault="00234EC8"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MAGHYEREH</w:t>
      </w:r>
      <w:r w:rsidR="0085000C" w:rsidRPr="007D2E18">
        <w:rPr>
          <w:rFonts w:ascii="Times New Roman" w:hAnsi="Times New Roman" w:cs="Times New Roman"/>
          <w:sz w:val="24"/>
          <w:szCs w:val="24"/>
          <w:lang w:val="en-GB"/>
        </w:rPr>
        <w:t xml:space="preserve">, A.I., B. </w:t>
      </w:r>
      <w:r w:rsidRPr="007D2E18">
        <w:rPr>
          <w:rFonts w:ascii="Times New Roman" w:hAnsi="Times New Roman" w:cs="Times New Roman"/>
          <w:sz w:val="24"/>
          <w:szCs w:val="24"/>
          <w:lang w:val="en-GB"/>
        </w:rPr>
        <w:t>AWARTANI</w:t>
      </w:r>
      <w:r w:rsidR="0085000C" w:rsidRPr="007D2E18">
        <w:rPr>
          <w:rFonts w:ascii="Times New Roman" w:hAnsi="Times New Roman" w:cs="Times New Roman"/>
          <w:sz w:val="24"/>
          <w:szCs w:val="24"/>
          <w:lang w:val="en-GB"/>
        </w:rPr>
        <w:t xml:space="preserve">, and E. </w:t>
      </w:r>
      <w:r w:rsidRPr="007D2E18">
        <w:rPr>
          <w:rFonts w:ascii="Times New Roman" w:hAnsi="Times New Roman" w:cs="Times New Roman"/>
          <w:sz w:val="24"/>
          <w:szCs w:val="24"/>
          <w:lang w:val="en-GB"/>
        </w:rPr>
        <w:t xml:space="preserve">BOURI </w:t>
      </w:r>
      <w:r w:rsidR="0085000C" w:rsidRPr="007D2E18">
        <w:rPr>
          <w:rFonts w:ascii="Times New Roman" w:hAnsi="Times New Roman" w:cs="Times New Roman"/>
          <w:sz w:val="24"/>
          <w:szCs w:val="24"/>
          <w:lang w:val="en-GB"/>
        </w:rPr>
        <w:t>(2016)</w:t>
      </w:r>
      <w:r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The Directional Volatility Connectedness between Crude Oil and Equity Markets: New Evidence from Implied Volatility Indexes</w:t>
      </w:r>
      <w:r w:rsidR="007A5589" w:rsidRPr="007D2E18">
        <w:rPr>
          <w:rFonts w:ascii="Times New Roman" w:hAnsi="Times New Roman" w:cs="Times New Roman"/>
          <w:sz w:val="24"/>
          <w:szCs w:val="24"/>
          <w:lang w:val="en-GB"/>
        </w:rPr>
        <w:t>”</w:t>
      </w:r>
      <w:r w:rsidR="00FF1C71"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Energy Economics</w:t>
      </w:r>
      <w:r w:rsidR="0085000C" w:rsidRPr="007D2E18">
        <w:rPr>
          <w:rFonts w:ascii="Times New Roman" w:hAnsi="Times New Roman" w:cs="Times New Roman"/>
          <w:sz w:val="24"/>
          <w:szCs w:val="24"/>
          <w:lang w:val="en-GB"/>
        </w:rPr>
        <w:t xml:space="preserve"> 57</w:t>
      </w:r>
      <w:r w:rsidR="00FF1C71"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78-93.</w:t>
      </w:r>
    </w:p>
    <w:p w14:paraId="62E398B3" w14:textId="28570C42" w:rsidR="0085000C" w:rsidRPr="007D2E18" w:rsidRDefault="00234EC8"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MALIK</w:t>
      </w:r>
      <w:r w:rsidR="0085000C" w:rsidRPr="007D2E18">
        <w:rPr>
          <w:rFonts w:ascii="Times New Roman" w:hAnsi="Times New Roman" w:cs="Times New Roman"/>
          <w:sz w:val="24"/>
          <w:szCs w:val="24"/>
          <w:lang w:val="en-GB"/>
        </w:rPr>
        <w:t xml:space="preserve">, F. and S. </w:t>
      </w:r>
      <w:r w:rsidRPr="007D2E18">
        <w:rPr>
          <w:rFonts w:ascii="Times New Roman" w:hAnsi="Times New Roman" w:cs="Times New Roman"/>
          <w:sz w:val="24"/>
          <w:szCs w:val="24"/>
          <w:lang w:val="en-GB"/>
        </w:rPr>
        <w:t xml:space="preserve">HAMMOUDEH </w:t>
      </w:r>
      <w:r w:rsidR="0085000C" w:rsidRPr="007D2E18">
        <w:rPr>
          <w:rFonts w:ascii="Times New Roman" w:hAnsi="Times New Roman" w:cs="Times New Roman"/>
          <w:sz w:val="24"/>
          <w:szCs w:val="24"/>
          <w:lang w:val="en-GB"/>
        </w:rPr>
        <w:t>(2007)</w:t>
      </w:r>
      <w:r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Shock and Volatility Transmission in the Oil, US and Gulf Equity Markets</w:t>
      </w:r>
      <w:r w:rsidR="007A5589" w:rsidRPr="007D2E18">
        <w:rPr>
          <w:rFonts w:ascii="Times New Roman" w:hAnsi="Times New Roman" w:cs="Times New Roman"/>
          <w:sz w:val="24"/>
          <w:szCs w:val="24"/>
          <w:lang w:val="en-GB"/>
        </w:rPr>
        <w:t>”</w:t>
      </w:r>
      <w:r w:rsidR="00FF1C71"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International Review of Economics and Finance</w:t>
      </w:r>
      <w:r w:rsidR="0085000C" w:rsidRPr="007D2E18">
        <w:rPr>
          <w:rFonts w:ascii="Times New Roman" w:hAnsi="Times New Roman" w:cs="Times New Roman"/>
          <w:sz w:val="24"/>
          <w:szCs w:val="24"/>
          <w:lang w:val="en-GB"/>
        </w:rPr>
        <w:t xml:space="preserve"> 16</w:t>
      </w:r>
      <w:r w:rsidR="00FF1C71"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(3)</w:t>
      </w:r>
      <w:r w:rsidR="00FF1C71"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357-368.</w:t>
      </w:r>
    </w:p>
    <w:p w14:paraId="15431EBF" w14:textId="213F5233" w:rsidR="0085000C" w:rsidRPr="007D2E18" w:rsidRDefault="00234EC8"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MEDEL</w:t>
      </w:r>
      <w:r w:rsidR="0085000C" w:rsidRPr="007D2E18">
        <w:rPr>
          <w:rFonts w:ascii="Times New Roman" w:hAnsi="Times New Roman" w:cs="Times New Roman"/>
          <w:sz w:val="24"/>
          <w:szCs w:val="24"/>
          <w:lang w:val="en-GB"/>
        </w:rPr>
        <w:t>, C.A. (2015)</w:t>
      </w:r>
      <w:r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Fuelling Future Prices: Oil Price and Global Inflation</w:t>
      </w:r>
      <w:r w:rsidR="007A5589" w:rsidRPr="007D2E18">
        <w:rPr>
          <w:rFonts w:ascii="Times New Roman" w:hAnsi="Times New Roman" w:cs="Times New Roman"/>
          <w:sz w:val="24"/>
          <w:szCs w:val="24"/>
          <w:lang w:val="en-GB"/>
        </w:rPr>
        <w:t>”</w:t>
      </w:r>
      <w:r w:rsidR="00FF1C71"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Nottingham Economic Review</w:t>
      </w:r>
      <w:r w:rsidR="0085000C" w:rsidRPr="007D2E18">
        <w:rPr>
          <w:rFonts w:ascii="Times New Roman" w:hAnsi="Times New Roman" w:cs="Times New Roman"/>
          <w:sz w:val="24"/>
          <w:szCs w:val="24"/>
          <w:lang w:val="en-GB"/>
        </w:rPr>
        <w:t xml:space="preserve"> 16</w:t>
      </w:r>
      <w:r w:rsidR="00FF1C71"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(September)</w:t>
      </w:r>
      <w:r w:rsidR="00FF1C71"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22-25.</w:t>
      </w:r>
    </w:p>
    <w:p w14:paraId="3D84E86B" w14:textId="432C8CD9" w:rsidR="0085000C" w:rsidRPr="007D2E18" w:rsidRDefault="00234EC8"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MEDEL</w:t>
      </w:r>
      <w:r w:rsidR="0085000C" w:rsidRPr="007D2E18">
        <w:rPr>
          <w:rFonts w:ascii="Times New Roman" w:hAnsi="Times New Roman" w:cs="Times New Roman"/>
          <w:sz w:val="24"/>
          <w:szCs w:val="24"/>
          <w:lang w:val="en-GB"/>
        </w:rPr>
        <w:t>, C.A. (2016)</w:t>
      </w:r>
      <w:r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Un Análisis de la Capacidad Predictiva del Precio del Cobre sobre la Inflación Global</w:t>
      </w:r>
      <w:r w:rsidR="007A5589" w:rsidRPr="007D2E18">
        <w:rPr>
          <w:rFonts w:ascii="Times New Roman" w:hAnsi="Times New Roman" w:cs="Times New Roman"/>
          <w:sz w:val="24"/>
          <w:szCs w:val="24"/>
          <w:lang w:val="en-GB"/>
        </w:rPr>
        <w:t>”</w:t>
      </w:r>
      <w:r w:rsidR="00FF1C71"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Economía Chilena</w:t>
      </w:r>
      <w:r w:rsidR="0085000C" w:rsidRPr="007D2E18">
        <w:rPr>
          <w:rFonts w:ascii="Times New Roman" w:hAnsi="Times New Roman" w:cs="Times New Roman"/>
          <w:sz w:val="24"/>
          <w:szCs w:val="24"/>
          <w:lang w:val="en-GB"/>
        </w:rPr>
        <w:t xml:space="preserve"> 19</w:t>
      </w:r>
      <w:r w:rsidR="00FF1C71"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(2)</w:t>
      </w:r>
      <w:r w:rsidR="00FF1C71"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128-153.</w:t>
      </w:r>
    </w:p>
    <w:p w14:paraId="4CA5B392" w14:textId="61D02536" w:rsidR="0085000C" w:rsidRPr="007D2E18" w:rsidRDefault="00234EC8"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MENSI</w:t>
      </w:r>
      <w:r w:rsidR="0085000C" w:rsidRPr="007D2E18">
        <w:rPr>
          <w:rFonts w:ascii="Times New Roman" w:hAnsi="Times New Roman" w:cs="Times New Roman"/>
          <w:sz w:val="24"/>
          <w:szCs w:val="24"/>
          <w:lang w:val="en-GB"/>
        </w:rPr>
        <w:t xml:space="preserve">, W., S. </w:t>
      </w:r>
      <w:r w:rsidRPr="007D2E18">
        <w:rPr>
          <w:rFonts w:ascii="Times New Roman" w:hAnsi="Times New Roman" w:cs="Times New Roman"/>
          <w:sz w:val="24"/>
          <w:szCs w:val="24"/>
          <w:lang w:val="en-GB"/>
        </w:rPr>
        <w:t>HAMMOUDEH</w:t>
      </w:r>
      <w:r w:rsidR="0085000C" w:rsidRPr="007D2E18">
        <w:rPr>
          <w:rFonts w:ascii="Times New Roman" w:hAnsi="Times New Roman" w:cs="Times New Roman"/>
          <w:sz w:val="24"/>
          <w:szCs w:val="24"/>
          <w:lang w:val="en-GB"/>
        </w:rPr>
        <w:t>, and S.-M. Yoon (2014)</w:t>
      </w:r>
      <w:r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How Do OPEC News and Structural Breaks Impact Returns and Volatility in Crude Oil Markets? Further Evidence from a Long Memory Process</w:t>
      </w:r>
      <w:r w:rsidR="007A5589" w:rsidRPr="007D2E18">
        <w:rPr>
          <w:rFonts w:ascii="Times New Roman" w:hAnsi="Times New Roman" w:cs="Times New Roman"/>
          <w:sz w:val="24"/>
          <w:szCs w:val="24"/>
          <w:lang w:val="en-GB"/>
        </w:rPr>
        <w:t>”</w:t>
      </w:r>
      <w:r w:rsidR="00FF1C71"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Energy Economics</w:t>
      </w:r>
      <w:r w:rsidR="0085000C" w:rsidRPr="007D2E18">
        <w:rPr>
          <w:rFonts w:ascii="Times New Roman" w:hAnsi="Times New Roman" w:cs="Times New Roman"/>
          <w:sz w:val="24"/>
          <w:szCs w:val="24"/>
          <w:lang w:val="en-GB"/>
        </w:rPr>
        <w:t xml:space="preserve"> 42</w:t>
      </w:r>
      <w:r w:rsidR="00FF1C71"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343-354.</w:t>
      </w:r>
    </w:p>
    <w:p w14:paraId="0BE6BC7D" w14:textId="5C933229" w:rsidR="0085000C" w:rsidRPr="007D2E18" w:rsidRDefault="00234EC8"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MORAN</w:t>
      </w:r>
      <w:r w:rsidR="0085000C" w:rsidRPr="007D2E18">
        <w:rPr>
          <w:rFonts w:ascii="Times New Roman" w:hAnsi="Times New Roman" w:cs="Times New Roman"/>
          <w:sz w:val="24"/>
          <w:szCs w:val="24"/>
          <w:lang w:val="en-GB"/>
        </w:rPr>
        <w:t>, T. (1982)</w:t>
      </w:r>
      <w:r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F4D10"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Modeling OPEC Behaviour: Economic and Political Alternatives</w:t>
      </w:r>
      <w:r w:rsidR="008F4D10"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in G.M. Griffin and D.J. Teece (Eds.), </w:t>
      </w:r>
      <w:r w:rsidR="0085000C" w:rsidRPr="007D2E18">
        <w:rPr>
          <w:rFonts w:ascii="Times New Roman" w:hAnsi="Times New Roman" w:cs="Times New Roman"/>
          <w:i/>
          <w:iCs/>
          <w:sz w:val="24"/>
          <w:szCs w:val="24"/>
          <w:lang w:val="en-GB"/>
        </w:rPr>
        <w:t>OPEC Behaviour and World Oil Prices</w:t>
      </w:r>
      <w:r w:rsidR="0085000C" w:rsidRPr="007D2E18">
        <w:rPr>
          <w:rFonts w:ascii="Times New Roman" w:hAnsi="Times New Roman" w:cs="Times New Roman"/>
          <w:sz w:val="24"/>
          <w:szCs w:val="24"/>
          <w:lang w:val="en-GB"/>
        </w:rPr>
        <w:t>, Allen &amp; Unwin, London, UK.</w:t>
      </w:r>
    </w:p>
    <w:p w14:paraId="6389DD0A" w14:textId="179134AB" w:rsidR="0085000C" w:rsidRPr="007D2E18" w:rsidRDefault="00234EC8"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NEELY</w:t>
      </w:r>
      <w:r w:rsidR="0085000C" w:rsidRPr="007D2E18">
        <w:rPr>
          <w:rFonts w:ascii="Times New Roman" w:hAnsi="Times New Roman" w:cs="Times New Roman"/>
          <w:sz w:val="24"/>
          <w:szCs w:val="24"/>
          <w:lang w:val="en-GB"/>
        </w:rPr>
        <w:t xml:space="preserve">, C.J. and D.E. </w:t>
      </w:r>
      <w:r w:rsidRPr="007D2E18">
        <w:rPr>
          <w:rFonts w:ascii="Times New Roman" w:hAnsi="Times New Roman" w:cs="Times New Roman"/>
          <w:sz w:val="24"/>
          <w:szCs w:val="24"/>
          <w:lang w:val="en-GB"/>
        </w:rPr>
        <w:t xml:space="preserve">RAPACH </w:t>
      </w:r>
      <w:r w:rsidR="0085000C" w:rsidRPr="007D2E18">
        <w:rPr>
          <w:rFonts w:ascii="Times New Roman" w:hAnsi="Times New Roman" w:cs="Times New Roman"/>
          <w:sz w:val="24"/>
          <w:szCs w:val="24"/>
          <w:lang w:val="en-GB"/>
        </w:rPr>
        <w:t>(2011)</w:t>
      </w:r>
      <w:r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International Comovements in Inflation Rates and Country Characteristics</w:t>
      </w:r>
      <w:r w:rsidR="007A5589" w:rsidRPr="007D2E18">
        <w:rPr>
          <w:rFonts w:ascii="Times New Roman" w:hAnsi="Times New Roman" w:cs="Times New Roman"/>
          <w:sz w:val="24"/>
          <w:szCs w:val="24"/>
          <w:lang w:val="en-GB"/>
        </w:rPr>
        <w:t>”</w:t>
      </w:r>
      <w:r w:rsidR="00FF1C71"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Journal of International Money and Finance</w:t>
      </w:r>
      <w:r w:rsidR="0085000C" w:rsidRPr="007D2E18">
        <w:rPr>
          <w:rFonts w:ascii="Times New Roman" w:hAnsi="Times New Roman" w:cs="Times New Roman"/>
          <w:sz w:val="24"/>
          <w:szCs w:val="24"/>
          <w:lang w:val="en-GB"/>
        </w:rPr>
        <w:t xml:space="preserve"> 30</w:t>
      </w:r>
      <w:r w:rsidR="00FF1C71"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(7)</w:t>
      </w:r>
      <w:r w:rsidR="00FF1C71"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1471-1490.</w:t>
      </w:r>
    </w:p>
    <w:p w14:paraId="36785AAE" w14:textId="5E55BC35" w:rsidR="0085000C" w:rsidRPr="007D2E18" w:rsidRDefault="00234EC8"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NEWEY</w:t>
      </w:r>
      <w:r w:rsidR="0085000C" w:rsidRPr="007D2E18">
        <w:rPr>
          <w:rFonts w:ascii="Times New Roman" w:hAnsi="Times New Roman" w:cs="Times New Roman"/>
          <w:sz w:val="24"/>
          <w:szCs w:val="24"/>
          <w:lang w:val="en-GB"/>
        </w:rPr>
        <w:t xml:space="preserve">, W.K. and K.D. </w:t>
      </w:r>
      <w:r w:rsidRPr="007D2E18">
        <w:rPr>
          <w:rFonts w:ascii="Times New Roman" w:hAnsi="Times New Roman" w:cs="Times New Roman"/>
          <w:sz w:val="24"/>
          <w:szCs w:val="24"/>
          <w:lang w:val="en-GB"/>
        </w:rPr>
        <w:t xml:space="preserve">WEST </w:t>
      </w:r>
      <w:r w:rsidR="0085000C" w:rsidRPr="007D2E18">
        <w:rPr>
          <w:rFonts w:ascii="Times New Roman" w:hAnsi="Times New Roman" w:cs="Times New Roman"/>
          <w:sz w:val="24"/>
          <w:szCs w:val="24"/>
          <w:lang w:val="en-GB"/>
        </w:rPr>
        <w:t>(1987)</w:t>
      </w:r>
      <w:r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A Simple, Positive Semi-definite, Heteroskedasticity and Autocorrelation Consistent Covariance Matrix</w:t>
      </w:r>
      <w:r w:rsidR="007A5589" w:rsidRPr="007D2E18">
        <w:rPr>
          <w:rFonts w:ascii="Times New Roman" w:hAnsi="Times New Roman" w:cs="Times New Roman"/>
          <w:sz w:val="24"/>
          <w:szCs w:val="24"/>
          <w:lang w:val="en-GB"/>
        </w:rPr>
        <w:t>”</w:t>
      </w:r>
      <w:r w:rsidR="00FF1C71"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Econometrica</w:t>
      </w:r>
      <w:r w:rsidR="0085000C" w:rsidRPr="007D2E18">
        <w:rPr>
          <w:rFonts w:ascii="Times New Roman" w:hAnsi="Times New Roman" w:cs="Times New Roman"/>
          <w:sz w:val="24"/>
          <w:szCs w:val="24"/>
          <w:lang w:val="en-GB"/>
        </w:rPr>
        <w:t xml:space="preserve"> 55</w:t>
      </w:r>
      <w:r w:rsidR="00FF1C71"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(3)</w:t>
      </w:r>
      <w:r w:rsidR="00FF1C71"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703-708.</w:t>
      </w:r>
    </w:p>
    <w:p w14:paraId="1D28AC5A" w14:textId="7D9BF437" w:rsidR="0085000C" w:rsidRPr="007D2E18" w:rsidRDefault="00234EC8"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ORGANISATION OF THE PETROLEUM EXPORTING COUNTRIES </w:t>
      </w:r>
      <w:r w:rsidR="0085000C" w:rsidRPr="007D2E18">
        <w:rPr>
          <w:rFonts w:ascii="Times New Roman" w:hAnsi="Times New Roman" w:cs="Times New Roman"/>
          <w:sz w:val="24"/>
          <w:szCs w:val="24"/>
          <w:lang w:val="en-GB"/>
        </w:rPr>
        <w:t>(2012)</w:t>
      </w:r>
      <w:r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D2E18" w:rsidRPr="007D2E18">
        <w:rPr>
          <w:rFonts w:ascii="Times New Roman" w:hAnsi="Times New Roman" w:cs="Times New Roman"/>
          <w:sz w:val="24"/>
          <w:szCs w:val="24"/>
          <w:lang w:val="en-GB"/>
        </w:rPr>
        <w:t>“</w:t>
      </w:r>
      <w:r w:rsidR="0085000C" w:rsidRPr="007D2E18">
        <w:rPr>
          <w:rFonts w:ascii="Times New Roman" w:hAnsi="Times New Roman" w:cs="Times New Roman"/>
          <w:i/>
          <w:iCs/>
          <w:sz w:val="24"/>
          <w:szCs w:val="24"/>
          <w:lang w:val="en-GB"/>
        </w:rPr>
        <w:t>OPEC Statute</w:t>
      </w:r>
      <w:r w:rsidR="007D2E1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retrieved on 27 November, 2019.</w:t>
      </w:r>
    </w:p>
    <w:p w14:paraId="3C68B191" w14:textId="049ECD77" w:rsidR="0085000C" w:rsidRPr="007D2E18" w:rsidRDefault="00234EC8"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PATTERSON</w:t>
      </w:r>
      <w:r w:rsidR="0085000C" w:rsidRPr="007D2E18">
        <w:rPr>
          <w:rFonts w:ascii="Times New Roman" w:hAnsi="Times New Roman" w:cs="Times New Roman"/>
          <w:sz w:val="24"/>
          <w:szCs w:val="24"/>
          <w:lang w:val="en-GB"/>
        </w:rPr>
        <w:t>, K. (2000)</w:t>
      </w:r>
      <w:r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An Introduction to Applied Econometrics. A Time Series Approach</w:t>
      </w:r>
      <w:r w:rsidR="0085000C" w:rsidRPr="007D2E18">
        <w:rPr>
          <w:rFonts w:ascii="Times New Roman" w:hAnsi="Times New Roman" w:cs="Times New Roman"/>
          <w:sz w:val="24"/>
          <w:szCs w:val="24"/>
          <w:lang w:val="en-GB"/>
        </w:rPr>
        <w:t>, Macmillan Press, UK.</w:t>
      </w:r>
    </w:p>
    <w:p w14:paraId="375E7B01" w14:textId="313FF7E2" w:rsidR="0085000C" w:rsidRPr="007D2E18" w:rsidRDefault="00234EC8"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PINDYCK</w:t>
      </w:r>
      <w:r w:rsidR="0085000C" w:rsidRPr="007D2E18">
        <w:rPr>
          <w:rFonts w:ascii="Times New Roman" w:hAnsi="Times New Roman" w:cs="Times New Roman"/>
          <w:sz w:val="24"/>
          <w:szCs w:val="24"/>
          <w:lang w:val="en-GB"/>
        </w:rPr>
        <w:t>, R.S. (1978)</w:t>
      </w:r>
      <w:r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Gains to Producers from the Cartelisation of Exhaustible Resources</w:t>
      </w:r>
      <w:r w:rsidR="007A5589" w:rsidRPr="007D2E18">
        <w:rPr>
          <w:rFonts w:ascii="Times New Roman" w:hAnsi="Times New Roman" w:cs="Times New Roman"/>
          <w:sz w:val="24"/>
          <w:szCs w:val="24"/>
          <w:lang w:val="en-GB"/>
        </w:rPr>
        <w:t>”</w:t>
      </w:r>
      <w:r w:rsidR="00FF1C71"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Review of Economics Statistics</w:t>
      </w:r>
      <w:r w:rsidR="0085000C" w:rsidRPr="007D2E18">
        <w:rPr>
          <w:rFonts w:ascii="Times New Roman" w:hAnsi="Times New Roman" w:cs="Times New Roman"/>
          <w:sz w:val="24"/>
          <w:szCs w:val="24"/>
          <w:lang w:val="en-GB"/>
        </w:rPr>
        <w:t xml:space="preserve"> 60</w:t>
      </w:r>
      <w:r w:rsidR="00FF1C71"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(2)</w:t>
      </w:r>
      <w:r w:rsidR="00FF1C71"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238-251.</w:t>
      </w:r>
    </w:p>
    <w:p w14:paraId="3390B554" w14:textId="69D21EFB" w:rsidR="0085000C" w:rsidRPr="007D2E18" w:rsidRDefault="00234EC8"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POLLET</w:t>
      </w:r>
      <w:r w:rsidR="0085000C" w:rsidRPr="007D2E18">
        <w:rPr>
          <w:rFonts w:ascii="Times New Roman" w:hAnsi="Times New Roman" w:cs="Times New Roman"/>
          <w:sz w:val="24"/>
          <w:szCs w:val="24"/>
          <w:lang w:val="en-GB"/>
        </w:rPr>
        <w:t>, J.M. (2005)</w:t>
      </w:r>
      <w:r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i/>
          <w:iCs/>
          <w:sz w:val="24"/>
          <w:szCs w:val="24"/>
          <w:lang w:val="en-GB"/>
        </w:rPr>
        <w:t>Predicting Asset Returns with Expected Oil Price Changes</w:t>
      </w:r>
      <w:r w:rsidR="007A5589" w:rsidRPr="007D2E18">
        <w:rPr>
          <w:rFonts w:ascii="Times New Roman" w:hAnsi="Times New Roman" w:cs="Times New Roman"/>
          <w:sz w:val="24"/>
          <w:szCs w:val="24"/>
          <w:lang w:val="en-GB"/>
        </w:rPr>
        <w:t>”</w:t>
      </w:r>
      <w:r w:rsidR="007D2E18"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available at Social Science Research Network.</w:t>
      </w:r>
    </w:p>
    <w:p w14:paraId="331ABFDB" w14:textId="33692685" w:rsidR="0085000C" w:rsidRPr="007D2E18" w:rsidRDefault="00234EC8"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SAIZ</w:t>
      </w:r>
      <w:r w:rsidR="0085000C" w:rsidRPr="007D2E18">
        <w:rPr>
          <w:rFonts w:ascii="Times New Roman" w:hAnsi="Times New Roman" w:cs="Times New Roman"/>
          <w:sz w:val="24"/>
          <w:szCs w:val="24"/>
          <w:lang w:val="en-GB"/>
        </w:rPr>
        <w:t xml:space="preserve">, A. and U. </w:t>
      </w:r>
      <w:r w:rsidRPr="007D2E18">
        <w:rPr>
          <w:rFonts w:ascii="Times New Roman" w:hAnsi="Times New Roman" w:cs="Times New Roman"/>
          <w:sz w:val="24"/>
          <w:szCs w:val="24"/>
          <w:lang w:val="en-GB"/>
        </w:rPr>
        <w:t xml:space="preserve">SIMONSOHN </w:t>
      </w:r>
      <w:r w:rsidR="0085000C" w:rsidRPr="007D2E18">
        <w:rPr>
          <w:rFonts w:ascii="Times New Roman" w:hAnsi="Times New Roman" w:cs="Times New Roman"/>
          <w:sz w:val="24"/>
          <w:szCs w:val="24"/>
          <w:lang w:val="en-GB"/>
        </w:rPr>
        <w:t>(2013)</w:t>
      </w:r>
      <w:r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Proxying for Unobservable Variables with Internet Document-frequency</w:t>
      </w:r>
      <w:r w:rsidR="007A5589" w:rsidRPr="007D2E18">
        <w:rPr>
          <w:rFonts w:ascii="Times New Roman" w:hAnsi="Times New Roman" w:cs="Times New Roman"/>
          <w:sz w:val="24"/>
          <w:szCs w:val="24"/>
          <w:lang w:val="en-GB"/>
        </w:rPr>
        <w:t>”</w:t>
      </w:r>
      <w:r w:rsidR="00FF1C71"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Journal of the European Economic Association</w:t>
      </w:r>
      <w:r w:rsidR="0085000C" w:rsidRPr="007D2E18">
        <w:rPr>
          <w:rFonts w:ascii="Times New Roman" w:hAnsi="Times New Roman" w:cs="Times New Roman"/>
          <w:sz w:val="24"/>
          <w:szCs w:val="24"/>
          <w:lang w:val="en-GB"/>
        </w:rPr>
        <w:t xml:space="preserve"> 11</w:t>
      </w:r>
      <w:r w:rsidR="00FF1C71"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(1)</w:t>
      </w:r>
      <w:r w:rsidR="00FF1C71"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137-165.</w:t>
      </w:r>
    </w:p>
    <w:p w14:paraId="7C6114BF" w14:textId="3788CF83" w:rsidR="0085000C" w:rsidRPr="007D2E18" w:rsidRDefault="00234EC8"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SALANT</w:t>
      </w:r>
      <w:r w:rsidR="0085000C" w:rsidRPr="007D2E18">
        <w:rPr>
          <w:rFonts w:ascii="Times New Roman" w:hAnsi="Times New Roman" w:cs="Times New Roman"/>
          <w:sz w:val="24"/>
          <w:szCs w:val="24"/>
          <w:lang w:val="en-GB"/>
        </w:rPr>
        <w:t>, S.W. (1976)</w:t>
      </w:r>
      <w:r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Exhaustible Resources and Industrial Structure: A Nash-Cournot Approach to the World Oil Market</w:t>
      </w:r>
      <w:r w:rsidR="007A5589" w:rsidRPr="007D2E18">
        <w:rPr>
          <w:rFonts w:ascii="Times New Roman" w:hAnsi="Times New Roman" w:cs="Times New Roman"/>
          <w:sz w:val="24"/>
          <w:szCs w:val="24"/>
          <w:lang w:val="en-GB"/>
        </w:rPr>
        <w:t>”</w:t>
      </w:r>
      <w:r w:rsidR="00FF1C71"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Journal of Political Economy</w:t>
      </w:r>
      <w:r w:rsidR="0085000C" w:rsidRPr="007D2E18">
        <w:rPr>
          <w:rFonts w:ascii="Times New Roman" w:hAnsi="Times New Roman" w:cs="Times New Roman"/>
          <w:sz w:val="24"/>
          <w:szCs w:val="24"/>
          <w:lang w:val="en-GB"/>
        </w:rPr>
        <w:t xml:space="preserve"> 84</w:t>
      </w:r>
      <w:r w:rsidR="00FF1C71"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(5)</w:t>
      </w:r>
      <w:r w:rsidR="00FF1C71"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1079-1093.</w:t>
      </w:r>
    </w:p>
    <w:p w14:paraId="02CB202B" w14:textId="2146AF22" w:rsidR="0085000C" w:rsidRPr="007D2E18" w:rsidRDefault="00234EC8"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SCHMIDBAUER</w:t>
      </w:r>
      <w:r w:rsidR="0085000C" w:rsidRPr="007D2E18">
        <w:rPr>
          <w:rFonts w:ascii="Times New Roman" w:hAnsi="Times New Roman" w:cs="Times New Roman"/>
          <w:sz w:val="24"/>
          <w:szCs w:val="24"/>
          <w:lang w:val="en-GB"/>
        </w:rPr>
        <w:t xml:space="preserve">, H. and A. </w:t>
      </w:r>
      <w:r w:rsidRPr="007D2E18">
        <w:rPr>
          <w:rFonts w:ascii="Times New Roman" w:hAnsi="Times New Roman" w:cs="Times New Roman"/>
          <w:sz w:val="24"/>
          <w:szCs w:val="24"/>
          <w:lang w:val="en-GB"/>
        </w:rPr>
        <w:t xml:space="preserve">RÖSCH </w:t>
      </w:r>
      <w:r w:rsidR="0085000C" w:rsidRPr="007D2E18">
        <w:rPr>
          <w:rFonts w:ascii="Times New Roman" w:hAnsi="Times New Roman" w:cs="Times New Roman"/>
          <w:sz w:val="24"/>
          <w:szCs w:val="24"/>
          <w:lang w:val="en-GB"/>
        </w:rPr>
        <w:t>(2012)</w:t>
      </w:r>
      <w:r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OPEC News and Announcements: Effects on Oil Price Expectation and Volatility</w:t>
      </w:r>
      <w:r w:rsidR="007A5589" w:rsidRPr="007D2E18">
        <w:rPr>
          <w:rFonts w:ascii="Times New Roman" w:hAnsi="Times New Roman" w:cs="Times New Roman"/>
          <w:sz w:val="24"/>
          <w:szCs w:val="24"/>
          <w:lang w:val="en-GB"/>
        </w:rPr>
        <w:t>”</w:t>
      </w:r>
      <w:r w:rsidR="00FF1C71"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Energy Economics</w:t>
      </w:r>
      <w:r w:rsidR="0085000C" w:rsidRPr="007D2E18">
        <w:rPr>
          <w:rFonts w:ascii="Times New Roman" w:hAnsi="Times New Roman" w:cs="Times New Roman"/>
          <w:sz w:val="24"/>
          <w:szCs w:val="24"/>
          <w:lang w:val="en-GB"/>
        </w:rPr>
        <w:t xml:space="preserve"> 34</w:t>
      </w:r>
      <w:r w:rsidR="00FF1C71"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1656-1663.</w:t>
      </w:r>
    </w:p>
    <w:p w14:paraId="5D2DE18D" w14:textId="3485DCB2" w:rsidR="0085000C" w:rsidRPr="007D2E18" w:rsidRDefault="00234EC8"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SCOTTI</w:t>
      </w:r>
      <w:r w:rsidR="0085000C" w:rsidRPr="007D2E18">
        <w:rPr>
          <w:rFonts w:ascii="Times New Roman" w:hAnsi="Times New Roman" w:cs="Times New Roman"/>
          <w:sz w:val="24"/>
          <w:szCs w:val="24"/>
          <w:lang w:val="en-GB"/>
        </w:rPr>
        <w:t>, C. (2016)</w:t>
      </w:r>
      <w:r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Surprise and Uncertainty Indexes: Real-time Aggregation of Real-activity Macro-surprises</w:t>
      </w:r>
      <w:r w:rsidR="007A5589" w:rsidRPr="007D2E18">
        <w:rPr>
          <w:rFonts w:ascii="Times New Roman" w:hAnsi="Times New Roman" w:cs="Times New Roman"/>
          <w:sz w:val="24"/>
          <w:szCs w:val="24"/>
          <w:lang w:val="en-GB"/>
        </w:rPr>
        <w:t>”</w:t>
      </w:r>
      <w:r w:rsidR="00FF1C71"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Journal of Monetary Economics</w:t>
      </w:r>
      <w:r w:rsidR="0085000C" w:rsidRPr="007D2E18">
        <w:rPr>
          <w:rFonts w:ascii="Times New Roman" w:hAnsi="Times New Roman" w:cs="Times New Roman"/>
          <w:sz w:val="24"/>
          <w:szCs w:val="24"/>
          <w:lang w:val="en-GB"/>
        </w:rPr>
        <w:t xml:space="preserve"> 82</w:t>
      </w:r>
      <w:r w:rsidR="00FF1C71"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1-19.</w:t>
      </w:r>
    </w:p>
    <w:p w14:paraId="30EA1C70" w14:textId="755000B8" w:rsidR="0085000C" w:rsidRPr="007D2E18" w:rsidRDefault="00234EC8"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lastRenderedPageBreak/>
        <w:t>SMITH</w:t>
      </w:r>
      <w:r w:rsidR="0085000C" w:rsidRPr="007D2E18">
        <w:rPr>
          <w:rFonts w:ascii="Times New Roman" w:hAnsi="Times New Roman" w:cs="Times New Roman"/>
          <w:sz w:val="24"/>
          <w:szCs w:val="24"/>
          <w:lang w:val="en-GB"/>
        </w:rPr>
        <w:t>, J. (2005)</w:t>
      </w:r>
      <w:r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Inscrutable OPEC? Behavior Test of the Cartel Hypothesis</w:t>
      </w:r>
      <w:r w:rsidR="007A5589" w:rsidRPr="007D2E18">
        <w:rPr>
          <w:rFonts w:ascii="Times New Roman" w:hAnsi="Times New Roman" w:cs="Times New Roman"/>
          <w:sz w:val="24"/>
          <w:szCs w:val="24"/>
          <w:lang w:val="en-GB"/>
        </w:rPr>
        <w:t>”</w:t>
      </w:r>
      <w:r w:rsidR="008F4D10"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The Energy Journal</w:t>
      </w:r>
      <w:r w:rsidR="0085000C" w:rsidRPr="007D2E18">
        <w:rPr>
          <w:rFonts w:ascii="Times New Roman" w:hAnsi="Times New Roman" w:cs="Times New Roman"/>
          <w:sz w:val="24"/>
          <w:szCs w:val="24"/>
          <w:lang w:val="en-GB"/>
        </w:rPr>
        <w:t xml:space="preserve"> 26</w:t>
      </w:r>
      <w:r w:rsidR="008F4D10"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(1)</w:t>
      </w:r>
      <w:r w:rsidR="008F4D10"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51-82.</w:t>
      </w:r>
    </w:p>
    <w:p w14:paraId="1E437C04" w14:textId="70242A9F" w:rsidR="0085000C" w:rsidRPr="007D2E18" w:rsidRDefault="00234EC8"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TAYLOR</w:t>
      </w:r>
      <w:r w:rsidR="0085000C" w:rsidRPr="007D2E18">
        <w:rPr>
          <w:rFonts w:ascii="Times New Roman" w:hAnsi="Times New Roman" w:cs="Times New Roman"/>
          <w:sz w:val="24"/>
          <w:szCs w:val="24"/>
          <w:lang w:val="en-GB"/>
        </w:rPr>
        <w:t>, J. and P.V. van Doren (2005)</w:t>
      </w:r>
      <w:r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The Case Against the Strategic Petroleum Reserve</w:t>
      </w:r>
      <w:r w:rsidR="007A5589" w:rsidRPr="007D2E18">
        <w:rPr>
          <w:rFonts w:ascii="Times New Roman" w:hAnsi="Times New Roman" w:cs="Times New Roman"/>
          <w:sz w:val="24"/>
          <w:szCs w:val="24"/>
          <w:lang w:val="en-GB"/>
        </w:rPr>
        <w:t>”</w:t>
      </w:r>
      <w:r w:rsidR="008F4D10"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Cato Institute: Policy Analysis</w:t>
      </w:r>
      <w:r w:rsidR="0085000C" w:rsidRPr="007D2E18">
        <w:rPr>
          <w:rFonts w:ascii="Times New Roman" w:hAnsi="Times New Roman" w:cs="Times New Roman"/>
          <w:sz w:val="24"/>
          <w:szCs w:val="24"/>
          <w:lang w:val="en-GB"/>
        </w:rPr>
        <w:t xml:space="preserve"> 555</w:t>
      </w:r>
      <w:r w:rsidR="008F4D10"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1-21.</w:t>
      </w:r>
    </w:p>
    <w:p w14:paraId="1DF976C1" w14:textId="222DD54E" w:rsidR="0085000C" w:rsidRPr="007D2E18" w:rsidRDefault="00234EC8"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TEECE</w:t>
      </w:r>
      <w:r w:rsidR="0085000C" w:rsidRPr="007D2E18">
        <w:rPr>
          <w:rFonts w:ascii="Times New Roman" w:hAnsi="Times New Roman" w:cs="Times New Roman"/>
          <w:sz w:val="24"/>
          <w:szCs w:val="24"/>
          <w:lang w:val="en-GB"/>
        </w:rPr>
        <w:t>, D. (1982)</w:t>
      </w:r>
      <w:r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F4D10"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OPEC Behaviour: An Alternative View</w:t>
      </w:r>
      <w:r w:rsidR="008F4D10"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in G.M. Griffin and D.J. Teece (Eds.), </w:t>
      </w:r>
      <w:r w:rsidR="0085000C" w:rsidRPr="007D2E18">
        <w:rPr>
          <w:rFonts w:ascii="Times New Roman" w:hAnsi="Times New Roman" w:cs="Times New Roman"/>
          <w:i/>
          <w:iCs/>
          <w:sz w:val="24"/>
          <w:szCs w:val="24"/>
          <w:lang w:val="en-GB"/>
        </w:rPr>
        <w:t>OPEC Behaviour and World Oil Prices</w:t>
      </w:r>
      <w:r w:rsidR="0085000C" w:rsidRPr="007D2E18">
        <w:rPr>
          <w:rFonts w:ascii="Times New Roman" w:hAnsi="Times New Roman" w:cs="Times New Roman"/>
          <w:sz w:val="24"/>
          <w:szCs w:val="24"/>
          <w:lang w:val="en-GB"/>
        </w:rPr>
        <w:t>, Allen &amp; Unwin, London, UK.</w:t>
      </w:r>
    </w:p>
    <w:p w14:paraId="064D80AA" w14:textId="2EB3385F" w:rsidR="0085000C" w:rsidRPr="007D2E18" w:rsidRDefault="00234EC8"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TUKEY</w:t>
      </w:r>
      <w:r w:rsidR="0085000C" w:rsidRPr="007D2E18">
        <w:rPr>
          <w:rFonts w:ascii="Times New Roman" w:hAnsi="Times New Roman" w:cs="Times New Roman"/>
          <w:sz w:val="24"/>
          <w:szCs w:val="24"/>
          <w:lang w:val="en-GB"/>
        </w:rPr>
        <w:t>, J. (1958)</w:t>
      </w:r>
      <w:r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Bias and Confidence in Not Quite Large Samples</w:t>
      </w:r>
      <w:r w:rsidR="007A5589" w:rsidRPr="007D2E18">
        <w:rPr>
          <w:rFonts w:ascii="Times New Roman" w:hAnsi="Times New Roman" w:cs="Times New Roman"/>
          <w:sz w:val="24"/>
          <w:szCs w:val="24"/>
          <w:lang w:val="en-GB"/>
        </w:rPr>
        <w:t>”</w:t>
      </w:r>
      <w:r w:rsidR="008F4D10"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Annals of Mathematical Statistics</w:t>
      </w:r>
      <w:r w:rsidR="0085000C" w:rsidRPr="007D2E18">
        <w:rPr>
          <w:rFonts w:ascii="Times New Roman" w:hAnsi="Times New Roman" w:cs="Times New Roman"/>
          <w:sz w:val="24"/>
          <w:szCs w:val="24"/>
          <w:lang w:val="en-GB"/>
        </w:rPr>
        <w:t xml:space="preserve"> 29</w:t>
      </w:r>
      <w:r w:rsidR="008F4D10"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(2)</w:t>
      </w:r>
      <w:r w:rsidR="008F4D10"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614.</w:t>
      </w:r>
    </w:p>
    <w:p w14:paraId="6756D4F6" w14:textId="176DFE31" w:rsidR="0085000C" w:rsidRPr="007D2E18" w:rsidRDefault="00234EC8"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WIRL</w:t>
      </w:r>
      <w:r w:rsidR="0085000C" w:rsidRPr="007D2E18">
        <w:rPr>
          <w:rFonts w:ascii="Times New Roman" w:hAnsi="Times New Roman" w:cs="Times New Roman"/>
          <w:sz w:val="24"/>
          <w:szCs w:val="24"/>
          <w:lang w:val="en-GB"/>
        </w:rPr>
        <w:t xml:space="preserve">, F. and A. </w:t>
      </w:r>
      <w:r w:rsidRPr="007D2E18">
        <w:rPr>
          <w:rFonts w:ascii="Times New Roman" w:hAnsi="Times New Roman" w:cs="Times New Roman"/>
          <w:sz w:val="24"/>
          <w:szCs w:val="24"/>
          <w:lang w:val="en-GB"/>
        </w:rPr>
        <w:t xml:space="preserve">KUJUNDZIC </w:t>
      </w:r>
      <w:r w:rsidR="0085000C" w:rsidRPr="007D2E18">
        <w:rPr>
          <w:rFonts w:ascii="Times New Roman" w:hAnsi="Times New Roman" w:cs="Times New Roman"/>
          <w:sz w:val="24"/>
          <w:szCs w:val="24"/>
          <w:lang w:val="en-GB"/>
        </w:rPr>
        <w:t>(2004)</w:t>
      </w:r>
      <w:r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The Impact of OPEC Conference Outcomes on World Oil Prices</w:t>
      </w:r>
      <w:r w:rsidR="007A5589" w:rsidRPr="007D2E18">
        <w:rPr>
          <w:rFonts w:ascii="Times New Roman" w:hAnsi="Times New Roman" w:cs="Times New Roman"/>
          <w:sz w:val="24"/>
          <w:szCs w:val="24"/>
          <w:lang w:val="en-GB"/>
        </w:rPr>
        <w:t>”</w:t>
      </w:r>
      <w:r w:rsidR="008F4D10"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The Energy Journal</w:t>
      </w:r>
      <w:r w:rsidR="0085000C" w:rsidRPr="007D2E18">
        <w:rPr>
          <w:rFonts w:ascii="Times New Roman" w:hAnsi="Times New Roman" w:cs="Times New Roman"/>
          <w:sz w:val="24"/>
          <w:szCs w:val="24"/>
          <w:lang w:val="en-GB"/>
        </w:rPr>
        <w:t xml:space="preserve"> 25</w:t>
      </w:r>
      <w:r w:rsidR="008F4D10"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(1)</w:t>
      </w:r>
      <w:r w:rsidR="008F4D10"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45-61.</w:t>
      </w:r>
    </w:p>
    <w:p w14:paraId="4A836406" w14:textId="5247D6C5" w:rsidR="0085000C" w:rsidRPr="007D2E18" w:rsidRDefault="00234EC8" w:rsidP="00AF71F7">
      <w:pPr>
        <w:spacing w:after="0" w:line="240" w:lineRule="auto"/>
        <w:ind w:left="720" w:hanging="720"/>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WHITE</w:t>
      </w:r>
      <w:r w:rsidR="0085000C" w:rsidRPr="007D2E18">
        <w:rPr>
          <w:rFonts w:ascii="Times New Roman" w:hAnsi="Times New Roman" w:cs="Times New Roman"/>
          <w:sz w:val="24"/>
          <w:szCs w:val="24"/>
          <w:lang w:val="en-GB"/>
        </w:rPr>
        <w:t>, H. (1980)</w:t>
      </w:r>
      <w:r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7A5589"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A Heteroskedasticity-Consistent Covariance Matrix Estimator and a Direct Test for Heteroskedasticity</w:t>
      </w:r>
      <w:r w:rsidR="007A5589" w:rsidRPr="007D2E18">
        <w:rPr>
          <w:rFonts w:ascii="Times New Roman" w:hAnsi="Times New Roman" w:cs="Times New Roman"/>
          <w:sz w:val="24"/>
          <w:szCs w:val="24"/>
          <w:lang w:val="en-GB"/>
        </w:rPr>
        <w:t>”</w:t>
      </w:r>
      <w:r w:rsidR="008F4D10" w:rsidRPr="007D2E18">
        <w:rPr>
          <w:rFonts w:ascii="Times New Roman" w:hAnsi="Times New Roman" w:cs="Times New Roman"/>
          <w:sz w:val="24"/>
          <w:szCs w:val="24"/>
          <w:lang w:val="en-GB"/>
        </w:rPr>
        <w:t>,</w:t>
      </w:r>
      <w:r w:rsidR="0085000C" w:rsidRPr="007D2E18">
        <w:rPr>
          <w:rFonts w:ascii="Times New Roman" w:hAnsi="Times New Roman" w:cs="Times New Roman"/>
          <w:sz w:val="24"/>
          <w:szCs w:val="24"/>
          <w:lang w:val="en-GB"/>
        </w:rPr>
        <w:t xml:space="preserve"> </w:t>
      </w:r>
      <w:r w:rsidR="0085000C" w:rsidRPr="007D2E18">
        <w:rPr>
          <w:rFonts w:ascii="Times New Roman" w:hAnsi="Times New Roman" w:cs="Times New Roman"/>
          <w:i/>
          <w:iCs/>
          <w:sz w:val="24"/>
          <w:szCs w:val="24"/>
          <w:lang w:val="en-GB"/>
        </w:rPr>
        <w:t>Econometrica</w:t>
      </w:r>
      <w:r w:rsidR="0085000C" w:rsidRPr="007D2E18">
        <w:rPr>
          <w:rFonts w:ascii="Times New Roman" w:hAnsi="Times New Roman" w:cs="Times New Roman"/>
          <w:sz w:val="24"/>
          <w:szCs w:val="24"/>
          <w:lang w:val="en-GB"/>
        </w:rPr>
        <w:t xml:space="preserve"> 48</w:t>
      </w:r>
      <w:r w:rsidR="008F4D10" w:rsidRPr="007D2E18">
        <w:rPr>
          <w:rFonts w:ascii="Times New Roman" w:hAnsi="Times New Roman" w:cs="Times New Roman"/>
          <w:sz w:val="24"/>
          <w:szCs w:val="24"/>
          <w:lang w:val="en-GB"/>
        </w:rPr>
        <w:t xml:space="preserve"> </w:t>
      </w:r>
      <w:r w:rsidR="0085000C" w:rsidRPr="007D2E18">
        <w:rPr>
          <w:rFonts w:ascii="Times New Roman" w:hAnsi="Times New Roman" w:cs="Times New Roman"/>
          <w:sz w:val="24"/>
          <w:szCs w:val="24"/>
          <w:lang w:val="en-GB"/>
        </w:rPr>
        <w:t>(4)</w:t>
      </w:r>
      <w:r w:rsidR="008F4D10" w:rsidRPr="007D2E18">
        <w:rPr>
          <w:rFonts w:ascii="Times New Roman" w:hAnsi="Times New Roman" w:cs="Times New Roman"/>
          <w:sz w:val="24"/>
          <w:szCs w:val="24"/>
          <w:lang w:val="en-GB"/>
        </w:rPr>
        <w:t>, pp.</w:t>
      </w:r>
      <w:r w:rsidR="0085000C" w:rsidRPr="007D2E18">
        <w:rPr>
          <w:rFonts w:ascii="Times New Roman" w:hAnsi="Times New Roman" w:cs="Times New Roman"/>
          <w:sz w:val="24"/>
          <w:szCs w:val="24"/>
          <w:lang w:val="en-GB"/>
        </w:rPr>
        <w:t xml:space="preserve"> 817-838.</w:t>
      </w:r>
    </w:p>
    <w:p w14:paraId="0A9D16B9" w14:textId="2C4E11D6" w:rsidR="007A5589" w:rsidRPr="007D2E18" w:rsidRDefault="007A5589">
      <w:pPr>
        <w:rPr>
          <w:rFonts w:ascii="Times New Roman" w:hAnsi="Times New Roman" w:cs="Times New Roman"/>
          <w:sz w:val="24"/>
          <w:szCs w:val="24"/>
          <w:lang w:val="en-GB"/>
        </w:rPr>
      </w:pPr>
      <w:r w:rsidRPr="007D2E18">
        <w:rPr>
          <w:rFonts w:ascii="Times New Roman" w:hAnsi="Times New Roman" w:cs="Times New Roman"/>
          <w:sz w:val="24"/>
          <w:szCs w:val="24"/>
          <w:lang w:val="en-GB"/>
        </w:rPr>
        <w:br w:type="page"/>
      </w:r>
    </w:p>
    <w:p w14:paraId="4A0F1C54" w14:textId="77777777" w:rsidR="0085000C" w:rsidRPr="007D2E18" w:rsidRDefault="0085000C" w:rsidP="00A456AE">
      <w:pPr>
        <w:spacing w:after="0" w:line="240" w:lineRule="auto"/>
        <w:jc w:val="both"/>
        <w:rPr>
          <w:rFonts w:ascii="Times New Roman" w:hAnsi="Times New Roman" w:cs="Times New Roman"/>
          <w:sz w:val="24"/>
          <w:szCs w:val="24"/>
          <w:lang w:val="en-GB"/>
        </w:rPr>
      </w:pPr>
    </w:p>
    <w:p w14:paraId="477D6A28" w14:textId="2304B752" w:rsidR="0085000C" w:rsidRPr="007D2E18" w:rsidRDefault="007A5589" w:rsidP="007A5589">
      <w:pPr>
        <w:spacing w:after="0" w:line="240" w:lineRule="auto"/>
        <w:jc w:val="center"/>
        <w:rPr>
          <w:rFonts w:ascii="Times New Roman" w:hAnsi="Times New Roman" w:cs="Times New Roman"/>
          <w:b/>
          <w:bCs/>
          <w:sz w:val="24"/>
          <w:szCs w:val="24"/>
          <w:lang w:val="en-GB"/>
        </w:rPr>
      </w:pPr>
      <w:r w:rsidRPr="007D2E18">
        <w:rPr>
          <w:rFonts w:ascii="Times New Roman" w:hAnsi="Times New Roman" w:cs="Times New Roman"/>
          <w:b/>
          <w:bCs/>
          <w:sz w:val="24"/>
          <w:szCs w:val="24"/>
          <w:lang w:val="en-GB"/>
        </w:rPr>
        <w:t>APPENDIX A:</w:t>
      </w:r>
    </w:p>
    <w:p w14:paraId="0EB49E0B" w14:textId="581DCB66" w:rsidR="0085000C" w:rsidRPr="007D2E18" w:rsidRDefault="007A5589" w:rsidP="007A5589">
      <w:pPr>
        <w:spacing w:after="0" w:line="240" w:lineRule="auto"/>
        <w:jc w:val="center"/>
        <w:rPr>
          <w:rFonts w:ascii="Times New Roman" w:hAnsi="Times New Roman" w:cs="Times New Roman"/>
          <w:b/>
          <w:bCs/>
          <w:sz w:val="24"/>
          <w:szCs w:val="24"/>
          <w:lang w:val="en-GB"/>
        </w:rPr>
      </w:pPr>
      <w:r w:rsidRPr="007D2E18">
        <w:rPr>
          <w:rFonts w:ascii="Times New Roman" w:hAnsi="Times New Roman" w:cs="Times New Roman"/>
          <w:b/>
          <w:bCs/>
          <w:i/>
          <w:iCs/>
          <w:sz w:val="24"/>
          <w:szCs w:val="24"/>
          <w:lang w:val="en-GB"/>
        </w:rPr>
        <w:t>GT&amp;N</w:t>
      </w:r>
      <w:r w:rsidRPr="007D2E18">
        <w:rPr>
          <w:rFonts w:ascii="Times New Roman" w:hAnsi="Times New Roman" w:cs="Times New Roman"/>
          <w:b/>
          <w:bCs/>
          <w:sz w:val="24"/>
          <w:szCs w:val="24"/>
          <w:lang w:val="en-GB"/>
        </w:rPr>
        <w:t xml:space="preserve"> VARIABLE DESCRIPTION</w:t>
      </w:r>
    </w:p>
    <w:p w14:paraId="794528D1" w14:textId="77777777" w:rsidR="0046083F" w:rsidRPr="007D2E18" w:rsidRDefault="0046083F" w:rsidP="00A456AE">
      <w:pPr>
        <w:spacing w:after="0" w:line="240" w:lineRule="auto"/>
        <w:jc w:val="both"/>
        <w:rPr>
          <w:rFonts w:ascii="Times New Roman" w:hAnsi="Times New Roman" w:cs="Times New Roman"/>
          <w:sz w:val="24"/>
          <w:szCs w:val="24"/>
          <w:lang w:val="en-GB"/>
        </w:rPr>
      </w:pPr>
    </w:p>
    <w:p w14:paraId="5A9EECFC" w14:textId="60F6DB3A" w:rsidR="0085000C"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In this appendix, we provide extended descriptions of the 10 dummy variables used in the construction of the </w:t>
      </w:r>
      <w:r w:rsidRPr="007D2E18">
        <w:rPr>
          <w:rFonts w:ascii="Times New Roman" w:hAnsi="Times New Roman" w:cs="Times New Roman"/>
          <w:i/>
          <w:iCs/>
          <w:sz w:val="24"/>
          <w:szCs w:val="24"/>
          <w:lang w:val="en-GB"/>
        </w:rPr>
        <w:t>GT&amp;N</w:t>
      </w:r>
      <w:r w:rsidRPr="007D2E18">
        <w:rPr>
          <w:rFonts w:ascii="Times New Roman" w:hAnsi="Times New Roman" w:cs="Times New Roman"/>
          <w:sz w:val="24"/>
          <w:szCs w:val="24"/>
          <w:lang w:val="en-GB"/>
        </w:rPr>
        <w:t xml:space="preserve"> variable. A time series plot of the 10 variables is presented in Figure A1.</w:t>
      </w:r>
    </w:p>
    <w:p w14:paraId="1DF668AC" w14:textId="77777777" w:rsidR="0085000C" w:rsidRPr="007D2E18" w:rsidRDefault="0085000C" w:rsidP="00A456AE">
      <w:pPr>
        <w:spacing w:after="0" w:line="240" w:lineRule="auto"/>
        <w:jc w:val="both"/>
        <w:rPr>
          <w:rFonts w:ascii="Times New Roman" w:hAnsi="Times New Roman" w:cs="Times New Roman"/>
          <w:sz w:val="24"/>
          <w:szCs w:val="24"/>
          <w:lang w:val="en-GB"/>
        </w:rPr>
      </w:pPr>
    </w:p>
    <w:p w14:paraId="111A6242" w14:textId="50B150DC" w:rsidR="0085000C" w:rsidRPr="007D2E18" w:rsidRDefault="0085000C" w:rsidP="0046083F">
      <w:pPr>
        <w:pStyle w:val="Prrafodelista"/>
        <w:numPr>
          <w:ilvl w:val="0"/>
          <w:numId w:val="3"/>
        </w:numPr>
        <w:spacing w:after="0" w:line="240" w:lineRule="auto"/>
        <w:ind w:left="360"/>
        <w:jc w:val="both"/>
        <w:rPr>
          <w:rFonts w:ascii="Times New Roman" w:hAnsi="Times New Roman" w:cs="Times New Roman"/>
          <w:sz w:val="24"/>
          <w:szCs w:val="24"/>
          <w:lang w:val="en-GB"/>
        </w:rPr>
      </w:pPr>
      <w:r w:rsidRPr="007D2E18">
        <w:rPr>
          <w:rFonts w:ascii="Times New Roman" w:hAnsi="Times New Roman" w:cs="Times New Roman"/>
          <w:b/>
          <w:bCs/>
          <w:sz w:val="24"/>
          <w:szCs w:val="24"/>
          <w:lang w:val="en-GB"/>
        </w:rPr>
        <w:t>United Nations Oil for Food Program (1995-2003) [+]</w:t>
      </w:r>
      <w:r w:rsidRPr="007D2E18">
        <w:rPr>
          <w:rFonts w:ascii="Times New Roman" w:hAnsi="Times New Roman" w:cs="Times New Roman"/>
          <w:sz w:val="24"/>
          <w:szCs w:val="24"/>
          <w:lang w:val="en-GB"/>
        </w:rPr>
        <w:t>. Programme developed by the United Nations established in 1995 as a response to Iraqi citizen</w:t>
      </w:r>
      <w:r w:rsidR="007220EE"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s claims affected by economic sanctions imposed in the aftermath of Gulf War of 1991. The programme allows Iraq to sell petroleum in world markets in exchange for food, medicines, and other humanitarian help, aiming to bind Iraqi military capacity. The programme finishes in 2003. The events referred to this programme are United Nations</w:t>
      </w:r>
      <w:r w:rsidR="0046083F"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 xml:space="preserve"> resolutions on Iraqi global oil market quotas, similar to the impact of new discoveries.</w:t>
      </w:r>
    </w:p>
    <w:p w14:paraId="076125B8" w14:textId="77777777" w:rsidR="009E7487" w:rsidRPr="007D2E18" w:rsidRDefault="009E7487" w:rsidP="009E7487">
      <w:pPr>
        <w:pStyle w:val="Prrafodelista"/>
        <w:spacing w:after="0" w:line="240" w:lineRule="auto"/>
        <w:ind w:left="360"/>
        <w:jc w:val="both"/>
        <w:rPr>
          <w:rFonts w:ascii="Times New Roman" w:hAnsi="Times New Roman" w:cs="Times New Roman"/>
          <w:sz w:val="24"/>
          <w:szCs w:val="24"/>
          <w:lang w:val="en-GB"/>
        </w:rPr>
      </w:pPr>
    </w:p>
    <w:p w14:paraId="3C38344D" w14:textId="34F0B1ED" w:rsidR="0085000C" w:rsidRPr="007D2E18" w:rsidRDefault="0085000C" w:rsidP="0046083F">
      <w:pPr>
        <w:pStyle w:val="Prrafodelista"/>
        <w:numPr>
          <w:ilvl w:val="0"/>
          <w:numId w:val="3"/>
        </w:numPr>
        <w:spacing w:after="0" w:line="240" w:lineRule="auto"/>
        <w:ind w:left="360"/>
        <w:jc w:val="both"/>
        <w:rPr>
          <w:rFonts w:ascii="Times New Roman" w:hAnsi="Times New Roman" w:cs="Times New Roman"/>
          <w:sz w:val="24"/>
          <w:szCs w:val="24"/>
          <w:lang w:val="en-GB"/>
        </w:rPr>
      </w:pPr>
      <w:r w:rsidRPr="007D2E18">
        <w:rPr>
          <w:rFonts w:ascii="Times New Roman" w:hAnsi="Times New Roman" w:cs="Times New Roman"/>
          <w:b/>
          <w:bCs/>
          <w:sz w:val="24"/>
          <w:szCs w:val="24"/>
          <w:lang w:val="en-GB"/>
        </w:rPr>
        <w:t>United States relations with Libya and Iran (1996-2004) [</w:t>
      </w:r>
      <w:r w:rsidR="0046083F" w:rsidRPr="007D2E18">
        <w:rPr>
          <w:rFonts w:ascii="Times New Roman" w:hAnsi="Times New Roman" w:cs="Times New Roman"/>
          <w:b/>
          <w:bCs/>
          <w:sz w:val="24"/>
          <w:szCs w:val="24"/>
          <w:lang w:val="en-GB"/>
        </w:rPr>
        <w:t>–</w:t>
      </w:r>
      <w:r w:rsidRPr="007D2E18">
        <w:rPr>
          <w:rFonts w:ascii="Times New Roman" w:hAnsi="Times New Roman" w:cs="Times New Roman"/>
          <w:b/>
          <w:bCs/>
          <w:sz w:val="24"/>
          <w:szCs w:val="24"/>
          <w:lang w:val="en-GB"/>
        </w:rPr>
        <w:t>]</w:t>
      </w:r>
      <w:r w:rsidRPr="007D2E18">
        <w:rPr>
          <w:rFonts w:ascii="Times New Roman" w:hAnsi="Times New Roman" w:cs="Times New Roman"/>
          <w:sz w:val="24"/>
          <w:szCs w:val="24"/>
          <w:lang w:val="en-GB"/>
        </w:rPr>
        <w:t>. Events considered in this category are related to the sanctions imposed on Iran and Libya promulgated in 1996. This act imposes economic sanctions on entrepreneurial-kind relations with Iran and Libya. The programme is a response to the nuclear agenda and support provided by Iran to certain terrorist associations (</w:t>
      </w:r>
      <w:r w:rsidRPr="007D2E18">
        <w:rPr>
          <w:rFonts w:ascii="Times New Roman" w:hAnsi="Times New Roman" w:cs="Times New Roman"/>
          <w:i/>
          <w:iCs/>
          <w:sz w:val="24"/>
          <w:szCs w:val="24"/>
          <w:lang w:val="en-GB"/>
        </w:rPr>
        <w:t>Hezbolla</w:t>
      </w:r>
      <w:r w:rsidRPr="007D2E18">
        <w:rPr>
          <w:rFonts w:ascii="Times New Roman" w:hAnsi="Times New Roman" w:cs="Times New Roman"/>
          <w:sz w:val="24"/>
          <w:szCs w:val="24"/>
          <w:lang w:val="en-GB"/>
        </w:rPr>
        <w:t xml:space="preserve">, </w:t>
      </w:r>
      <w:r w:rsidRPr="007D2E18">
        <w:rPr>
          <w:rFonts w:ascii="Times New Roman" w:hAnsi="Times New Roman" w:cs="Times New Roman"/>
          <w:i/>
          <w:iCs/>
          <w:sz w:val="24"/>
          <w:szCs w:val="24"/>
          <w:lang w:val="en-GB"/>
        </w:rPr>
        <w:t>Hammas</w:t>
      </w:r>
      <w:r w:rsidRPr="007D2E18">
        <w:rPr>
          <w:rFonts w:ascii="Times New Roman" w:hAnsi="Times New Roman" w:cs="Times New Roman"/>
          <w:sz w:val="24"/>
          <w:szCs w:val="24"/>
          <w:lang w:val="en-GB"/>
        </w:rPr>
        <w:t xml:space="preserve">, and </w:t>
      </w:r>
      <w:r w:rsidRPr="007D2E18">
        <w:rPr>
          <w:rFonts w:ascii="Times New Roman" w:hAnsi="Times New Roman" w:cs="Times New Roman"/>
          <w:i/>
          <w:iCs/>
          <w:sz w:val="24"/>
          <w:szCs w:val="24"/>
          <w:lang w:val="en-GB"/>
        </w:rPr>
        <w:t>Jihad</w:t>
      </w:r>
      <w:r w:rsidRPr="007D2E18">
        <w:rPr>
          <w:rFonts w:ascii="Times New Roman" w:hAnsi="Times New Roman" w:cs="Times New Roman"/>
          <w:sz w:val="24"/>
          <w:szCs w:val="24"/>
          <w:lang w:val="en-GB"/>
        </w:rPr>
        <w:t>). On 19 December, 2003, Libya announced its intention to leave the nuclear programme as well as the development of massive destruction weapons and the beginning of a new era of cooperation with the United States.</w:t>
      </w:r>
    </w:p>
    <w:p w14:paraId="10E69FC7" w14:textId="77777777" w:rsidR="009E7487" w:rsidRPr="007D2E18" w:rsidRDefault="009E7487" w:rsidP="009E7487">
      <w:pPr>
        <w:pStyle w:val="Prrafodelista"/>
        <w:spacing w:after="0" w:line="240" w:lineRule="auto"/>
        <w:ind w:left="360"/>
        <w:jc w:val="both"/>
        <w:rPr>
          <w:rFonts w:ascii="Times New Roman" w:hAnsi="Times New Roman" w:cs="Times New Roman"/>
          <w:sz w:val="24"/>
          <w:szCs w:val="24"/>
          <w:lang w:val="en-GB"/>
        </w:rPr>
      </w:pPr>
    </w:p>
    <w:p w14:paraId="533B3BE6" w14:textId="7A8C3E20" w:rsidR="0085000C" w:rsidRPr="007D2E18" w:rsidRDefault="0085000C" w:rsidP="0046083F">
      <w:pPr>
        <w:pStyle w:val="Prrafodelista"/>
        <w:numPr>
          <w:ilvl w:val="0"/>
          <w:numId w:val="3"/>
        </w:numPr>
        <w:spacing w:after="0" w:line="240" w:lineRule="auto"/>
        <w:ind w:left="360"/>
        <w:jc w:val="both"/>
        <w:rPr>
          <w:rFonts w:ascii="Times New Roman" w:hAnsi="Times New Roman" w:cs="Times New Roman"/>
          <w:sz w:val="24"/>
          <w:szCs w:val="24"/>
          <w:lang w:val="en-GB"/>
        </w:rPr>
      </w:pPr>
      <w:r w:rsidRPr="007D2E18">
        <w:rPr>
          <w:rFonts w:ascii="Times New Roman" w:hAnsi="Times New Roman" w:cs="Times New Roman"/>
          <w:b/>
          <w:bCs/>
          <w:sz w:val="24"/>
          <w:szCs w:val="24"/>
          <w:lang w:val="en-GB"/>
        </w:rPr>
        <w:t>Iraq War and post-war period (2003-2011) [</w:t>
      </w:r>
      <w:r w:rsidR="0046083F" w:rsidRPr="007D2E18">
        <w:rPr>
          <w:rFonts w:ascii="Times New Roman" w:hAnsi="Times New Roman" w:cs="Times New Roman"/>
          <w:b/>
          <w:bCs/>
          <w:sz w:val="24"/>
          <w:szCs w:val="24"/>
          <w:lang w:val="en-GB"/>
        </w:rPr>
        <w:t>–</w:t>
      </w:r>
      <w:r w:rsidRPr="007D2E18">
        <w:rPr>
          <w:rFonts w:ascii="Times New Roman" w:hAnsi="Times New Roman" w:cs="Times New Roman"/>
          <w:b/>
          <w:bCs/>
          <w:sz w:val="24"/>
          <w:szCs w:val="24"/>
          <w:lang w:val="en-GB"/>
        </w:rPr>
        <w:t>]</w:t>
      </w:r>
      <w:r w:rsidRPr="007D2E18">
        <w:rPr>
          <w:rFonts w:ascii="Times New Roman" w:hAnsi="Times New Roman" w:cs="Times New Roman"/>
          <w:sz w:val="24"/>
          <w:szCs w:val="24"/>
          <w:lang w:val="en-GB"/>
        </w:rPr>
        <w:t>. News related to the United States</w:t>
      </w:r>
      <w:r w:rsidR="0046083F"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 xml:space="preserve"> invasion to Iraq in March 2003, and Saddam Hussein</w:t>
      </w:r>
      <w:r w:rsidR="0046083F"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s capture in December 2003. It also includes events related to the installation of the provisional government in Iraq and reestablishment of Iraq</w:t>
      </w:r>
      <w:r w:rsidR="0046083F"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s international affairs.</w:t>
      </w:r>
    </w:p>
    <w:p w14:paraId="7138519A" w14:textId="77777777" w:rsidR="009E7487" w:rsidRPr="007D2E18" w:rsidRDefault="009E7487" w:rsidP="009E7487">
      <w:pPr>
        <w:pStyle w:val="Prrafodelista"/>
        <w:spacing w:after="0" w:line="240" w:lineRule="auto"/>
        <w:ind w:left="360"/>
        <w:jc w:val="both"/>
        <w:rPr>
          <w:rFonts w:ascii="Times New Roman" w:hAnsi="Times New Roman" w:cs="Times New Roman"/>
          <w:sz w:val="24"/>
          <w:szCs w:val="24"/>
          <w:lang w:val="en-GB"/>
        </w:rPr>
      </w:pPr>
    </w:p>
    <w:p w14:paraId="2275BCCD" w14:textId="189F6414" w:rsidR="0085000C" w:rsidRPr="007D2E18" w:rsidRDefault="0085000C" w:rsidP="0046083F">
      <w:pPr>
        <w:pStyle w:val="Prrafodelista"/>
        <w:numPr>
          <w:ilvl w:val="0"/>
          <w:numId w:val="3"/>
        </w:numPr>
        <w:spacing w:after="0" w:line="240" w:lineRule="auto"/>
        <w:ind w:left="360"/>
        <w:jc w:val="both"/>
        <w:rPr>
          <w:rFonts w:ascii="Times New Roman" w:hAnsi="Times New Roman" w:cs="Times New Roman"/>
          <w:sz w:val="24"/>
          <w:szCs w:val="24"/>
          <w:lang w:val="en-GB"/>
        </w:rPr>
      </w:pPr>
      <w:r w:rsidRPr="007D2E18">
        <w:rPr>
          <w:rFonts w:ascii="Times New Roman" w:hAnsi="Times New Roman" w:cs="Times New Roman"/>
          <w:b/>
          <w:bCs/>
          <w:sz w:val="24"/>
          <w:szCs w:val="24"/>
          <w:lang w:val="en-GB"/>
        </w:rPr>
        <w:t>Iran post Iraq War (start in 2005) [</w:t>
      </w:r>
      <w:r w:rsidR="0046083F" w:rsidRPr="007D2E18">
        <w:rPr>
          <w:rFonts w:ascii="Times New Roman" w:hAnsi="Times New Roman" w:cs="Times New Roman"/>
          <w:b/>
          <w:bCs/>
          <w:sz w:val="24"/>
          <w:szCs w:val="24"/>
          <w:lang w:val="en-GB"/>
        </w:rPr>
        <w:t>–</w:t>
      </w:r>
      <w:r w:rsidRPr="007D2E18">
        <w:rPr>
          <w:rFonts w:ascii="Times New Roman" w:hAnsi="Times New Roman" w:cs="Times New Roman"/>
          <w:b/>
          <w:bCs/>
          <w:sz w:val="24"/>
          <w:szCs w:val="24"/>
          <w:lang w:val="en-GB"/>
        </w:rPr>
        <w:t>]</w:t>
      </w:r>
      <w:r w:rsidRPr="007D2E18">
        <w:rPr>
          <w:rFonts w:ascii="Times New Roman" w:hAnsi="Times New Roman" w:cs="Times New Roman"/>
          <w:sz w:val="24"/>
          <w:szCs w:val="24"/>
          <w:lang w:val="en-GB"/>
        </w:rPr>
        <w:t>. Accounts for events related to justified hearsays of the re-establishment of a nuclear programme during the administration of president Mahmoud Ahmadinejad starting in August 2005.</w:t>
      </w:r>
    </w:p>
    <w:p w14:paraId="35CF12BB" w14:textId="77777777" w:rsidR="009E7487" w:rsidRPr="007D2E18" w:rsidRDefault="009E7487" w:rsidP="009E7487">
      <w:pPr>
        <w:pStyle w:val="Prrafodelista"/>
        <w:spacing w:after="0" w:line="240" w:lineRule="auto"/>
        <w:ind w:left="360"/>
        <w:jc w:val="both"/>
        <w:rPr>
          <w:rFonts w:ascii="Times New Roman" w:hAnsi="Times New Roman" w:cs="Times New Roman"/>
          <w:sz w:val="24"/>
          <w:szCs w:val="24"/>
          <w:lang w:val="en-GB"/>
        </w:rPr>
      </w:pPr>
    </w:p>
    <w:p w14:paraId="19D8BA93" w14:textId="640E6400" w:rsidR="0085000C" w:rsidRPr="007D2E18" w:rsidRDefault="0085000C" w:rsidP="0046083F">
      <w:pPr>
        <w:pStyle w:val="Prrafodelista"/>
        <w:numPr>
          <w:ilvl w:val="0"/>
          <w:numId w:val="3"/>
        </w:numPr>
        <w:spacing w:after="0" w:line="240" w:lineRule="auto"/>
        <w:ind w:left="360"/>
        <w:jc w:val="both"/>
        <w:rPr>
          <w:rFonts w:ascii="Times New Roman" w:hAnsi="Times New Roman" w:cs="Times New Roman"/>
          <w:sz w:val="24"/>
          <w:szCs w:val="24"/>
          <w:lang w:val="en-GB"/>
        </w:rPr>
      </w:pPr>
      <w:r w:rsidRPr="007D2E18">
        <w:rPr>
          <w:rFonts w:ascii="Times New Roman" w:hAnsi="Times New Roman" w:cs="Times New Roman"/>
          <w:b/>
          <w:bCs/>
          <w:sz w:val="24"/>
          <w:szCs w:val="24"/>
          <w:lang w:val="en-GB"/>
        </w:rPr>
        <w:t>Terrorist attacks [</w:t>
      </w:r>
      <w:r w:rsidR="0046083F" w:rsidRPr="007D2E18">
        <w:rPr>
          <w:rFonts w:ascii="Times New Roman" w:hAnsi="Times New Roman" w:cs="Times New Roman"/>
          <w:b/>
          <w:bCs/>
          <w:sz w:val="24"/>
          <w:szCs w:val="24"/>
          <w:lang w:val="en-GB"/>
        </w:rPr>
        <w:t>–</w:t>
      </w:r>
      <w:r w:rsidRPr="007D2E18">
        <w:rPr>
          <w:rFonts w:ascii="Times New Roman" w:hAnsi="Times New Roman" w:cs="Times New Roman"/>
          <w:b/>
          <w:bCs/>
          <w:sz w:val="24"/>
          <w:szCs w:val="24"/>
          <w:lang w:val="en-GB"/>
        </w:rPr>
        <w:t>]</w:t>
      </w:r>
      <w:r w:rsidRPr="007D2E18">
        <w:rPr>
          <w:rFonts w:ascii="Times New Roman" w:hAnsi="Times New Roman" w:cs="Times New Roman"/>
          <w:sz w:val="24"/>
          <w:szCs w:val="24"/>
          <w:lang w:val="en-GB"/>
        </w:rPr>
        <w:t>. Constitutes events referred to terrorist attacks to productive installations in the Middle East, or terrorist targets. 9/11 attacks are included within this category.</w:t>
      </w:r>
    </w:p>
    <w:p w14:paraId="171F4C90" w14:textId="77777777" w:rsidR="009E7487" w:rsidRPr="007D2E18" w:rsidRDefault="009E7487" w:rsidP="009E7487">
      <w:pPr>
        <w:pStyle w:val="Prrafodelista"/>
        <w:spacing w:after="0" w:line="240" w:lineRule="auto"/>
        <w:ind w:left="360"/>
        <w:jc w:val="both"/>
        <w:rPr>
          <w:rFonts w:ascii="Times New Roman" w:hAnsi="Times New Roman" w:cs="Times New Roman"/>
          <w:sz w:val="24"/>
          <w:szCs w:val="24"/>
          <w:lang w:val="en-GB"/>
        </w:rPr>
      </w:pPr>
    </w:p>
    <w:p w14:paraId="2A7A526D" w14:textId="26C8EDC1" w:rsidR="0085000C" w:rsidRPr="007D2E18" w:rsidRDefault="0085000C" w:rsidP="0046083F">
      <w:pPr>
        <w:pStyle w:val="Prrafodelista"/>
        <w:numPr>
          <w:ilvl w:val="0"/>
          <w:numId w:val="3"/>
        </w:numPr>
        <w:spacing w:after="0" w:line="240" w:lineRule="auto"/>
        <w:ind w:left="360"/>
        <w:jc w:val="both"/>
        <w:rPr>
          <w:rFonts w:ascii="Times New Roman" w:hAnsi="Times New Roman" w:cs="Times New Roman"/>
          <w:sz w:val="24"/>
          <w:szCs w:val="24"/>
          <w:lang w:val="en-GB"/>
        </w:rPr>
      </w:pPr>
      <w:r w:rsidRPr="007D2E18">
        <w:rPr>
          <w:rFonts w:ascii="Times New Roman" w:hAnsi="Times New Roman" w:cs="Times New Roman"/>
          <w:b/>
          <w:bCs/>
          <w:sz w:val="24"/>
          <w:szCs w:val="24"/>
          <w:lang w:val="en-GB"/>
        </w:rPr>
        <w:t>Lebanon War (2006) [</w:t>
      </w:r>
      <w:r w:rsidR="0046083F" w:rsidRPr="007D2E18">
        <w:rPr>
          <w:rFonts w:ascii="Times New Roman" w:hAnsi="Times New Roman" w:cs="Times New Roman"/>
          <w:b/>
          <w:bCs/>
          <w:sz w:val="24"/>
          <w:szCs w:val="24"/>
          <w:lang w:val="en-GB"/>
        </w:rPr>
        <w:t>–</w:t>
      </w:r>
      <w:r w:rsidRPr="007D2E18">
        <w:rPr>
          <w:rFonts w:ascii="Times New Roman" w:hAnsi="Times New Roman" w:cs="Times New Roman"/>
          <w:b/>
          <w:bCs/>
          <w:sz w:val="24"/>
          <w:szCs w:val="24"/>
          <w:lang w:val="en-GB"/>
        </w:rPr>
        <w:t>]</w:t>
      </w:r>
      <w:r w:rsidRPr="007D2E18">
        <w:rPr>
          <w:rFonts w:ascii="Times New Roman" w:hAnsi="Times New Roman" w:cs="Times New Roman"/>
          <w:sz w:val="24"/>
          <w:szCs w:val="24"/>
          <w:lang w:val="en-GB"/>
        </w:rPr>
        <w:t>. Also referred as Israel-</w:t>
      </w:r>
      <w:r w:rsidRPr="007D2E18">
        <w:rPr>
          <w:rFonts w:ascii="Times New Roman" w:hAnsi="Times New Roman" w:cs="Times New Roman"/>
          <w:i/>
          <w:iCs/>
          <w:sz w:val="24"/>
          <w:szCs w:val="24"/>
          <w:lang w:val="en-GB"/>
        </w:rPr>
        <w:t>Hezbolla</w:t>
      </w:r>
      <w:r w:rsidRPr="007D2E18">
        <w:rPr>
          <w:rFonts w:ascii="Times New Roman" w:hAnsi="Times New Roman" w:cs="Times New Roman"/>
          <w:sz w:val="24"/>
          <w:szCs w:val="24"/>
          <w:lang w:val="en-GB"/>
        </w:rPr>
        <w:t xml:space="preserve"> War o July War, is a 34-day-long conflict occurred in Lebanon spanning from 12 July to 14 August, 2006, after a ceasefire, statement of the United Nations. The conflict had a de facto end on 8 September, 2006 when Israel unblocked maritime restrictions over Lebanon.</w:t>
      </w:r>
    </w:p>
    <w:p w14:paraId="0555DCDC" w14:textId="77777777" w:rsidR="009E7487" w:rsidRPr="007D2E18" w:rsidRDefault="009E7487" w:rsidP="009E7487">
      <w:pPr>
        <w:pStyle w:val="Prrafodelista"/>
        <w:spacing w:after="0" w:line="240" w:lineRule="auto"/>
        <w:ind w:left="360"/>
        <w:jc w:val="both"/>
        <w:rPr>
          <w:rFonts w:ascii="Times New Roman" w:hAnsi="Times New Roman" w:cs="Times New Roman"/>
          <w:sz w:val="24"/>
          <w:szCs w:val="24"/>
          <w:lang w:val="en-GB"/>
        </w:rPr>
      </w:pPr>
    </w:p>
    <w:p w14:paraId="31B8DBD7" w14:textId="4A068BEF" w:rsidR="0085000C" w:rsidRPr="007D2E18" w:rsidRDefault="0085000C" w:rsidP="0046083F">
      <w:pPr>
        <w:pStyle w:val="Prrafodelista"/>
        <w:numPr>
          <w:ilvl w:val="0"/>
          <w:numId w:val="3"/>
        </w:numPr>
        <w:spacing w:after="0" w:line="240" w:lineRule="auto"/>
        <w:ind w:left="360"/>
        <w:jc w:val="both"/>
        <w:rPr>
          <w:rFonts w:ascii="Times New Roman" w:hAnsi="Times New Roman" w:cs="Times New Roman"/>
          <w:sz w:val="24"/>
          <w:szCs w:val="24"/>
          <w:lang w:val="en-GB"/>
        </w:rPr>
      </w:pPr>
      <w:r w:rsidRPr="007D2E18">
        <w:rPr>
          <w:rFonts w:ascii="Times New Roman" w:hAnsi="Times New Roman" w:cs="Times New Roman"/>
          <w:b/>
          <w:bCs/>
          <w:sz w:val="24"/>
          <w:szCs w:val="24"/>
          <w:lang w:val="en-GB"/>
        </w:rPr>
        <w:t>Arab Spring (2011) [</w:t>
      </w:r>
      <w:r w:rsidR="0046083F" w:rsidRPr="007D2E18">
        <w:rPr>
          <w:rFonts w:ascii="Times New Roman" w:hAnsi="Times New Roman" w:cs="Times New Roman"/>
          <w:b/>
          <w:bCs/>
          <w:sz w:val="24"/>
          <w:szCs w:val="24"/>
          <w:lang w:val="en-GB"/>
        </w:rPr>
        <w:t>–</w:t>
      </w:r>
      <w:r w:rsidRPr="007D2E18">
        <w:rPr>
          <w:rFonts w:ascii="Times New Roman" w:hAnsi="Times New Roman" w:cs="Times New Roman"/>
          <w:b/>
          <w:bCs/>
          <w:sz w:val="24"/>
          <w:szCs w:val="24"/>
          <w:lang w:val="en-GB"/>
        </w:rPr>
        <w:t>]</w:t>
      </w:r>
      <w:r w:rsidRPr="007D2E18">
        <w:rPr>
          <w:rFonts w:ascii="Times New Roman" w:hAnsi="Times New Roman" w:cs="Times New Roman"/>
          <w:sz w:val="24"/>
          <w:szCs w:val="24"/>
          <w:lang w:val="en-GB"/>
        </w:rPr>
        <w:t>. Constitute waves of anti-government demonstrations and strikes in Arab countries starting on 18 December, 2010 in Tunisia. Governments of Tunisia, Egypt, Libya, and Yemen were overthrown. Civilian demonstrations took place in Bahrain and Syria; massive movement strikes in Algeria, Iraq, Jordan, Kuwait, Morocco, and Oman; minor events were noticed also in Lebanon, Mauritania, Saudi Arabia, Sudan, and Western Sahara.</w:t>
      </w:r>
    </w:p>
    <w:p w14:paraId="78332983" w14:textId="77777777" w:rsidR="009E7487" w:rsidRPr="007D2E18" w:rsidRDefault="009E7487" w:rsidP="009E7487">
      <w:pPr>
        <w:pStyle w:val="Prrafodelista"/>
        <w:spacing w:after="0" w:line="240" w:lineRule="auto"/>
        <w:ind w:left="360"/>
        <w:jc w:val="both"/>
        <w:rPr>
          <w:rFonts w:ascii="Times New Roman" w:hAnsi="Times New Roman" w:cs="Times New Roman"/>
          <w:sz w:val="24"/>
          <w:szCs w:val="24"/>
          <w:lang w:val="en-GB"/>
        </w:rPr>
      </w:pPr>
    </w:p>
    <w:p w14:paraId="1BD6A272" w14:textId="6D184895" w:rsidR="0085000C" w:rsidRPr="007D2E18" w:rsidRDefault="0085000C" w:rsidP="0046083F">
      <w:pPr>
        <w:pStyle w:val="Prrafodelista"/>
        <w:numPr>
          <w:ilvl w:val="0"/>
          <w:numId w:val="3"/>
        </w:numPr>
        <w:spacing w:after="0" w:line="240" w:lineRule="auto"/>
        <w:ind w:left="360"/>
        <w:jc w:val="both"/>
        <w:rPr>
          <w:rFonts w:ascii="Times New Roman" w:hAnsi="Times New Roman" w:cs="Times New Roman"/>
          <w:sz w:val="24"/>
          <w:szCs w:val="24"/>
          <w:lang w:val="en-GB"/>
        </w:rPr>
      </w:pPr>
      <w:r w:rsidRPr="007D2E18">
        <w:rPr>
          <w:rFonts w:ascii="Times New Roman" w:hAnsi="Times New Roman" w:cs="Times New Roman"/>
          <w:b/>
          <w:bCs/>
          <w:sz w:val="24"/>
          <w:szCs w:val="24"/>
          <w:lang w:val="en-GB"/>
        </w:rPr>
        <w:lastRenderedPageBreak/>
        <w:t xml:space="preserve">Use of the </w:t>
      </w:r>
      <w:r w:rsidRPr="007D2E18">
        <w:rPr>
          <w:rFonts w:ascii="Times New Roman" w:hAnsi="Times New Roman" w:cs="Times New Roman"/>
          <w:b/>
          <w:bCs/>
          <w:i/>
          <w:iCs/>
          <w:sz w:val="24"/>
          <w:szCs w:val="24"/>
          <w:lang w:val="en-GB"/>
        </w:rPr>
        <w:t>United States Strategic Petroleum Reserve</w:t>
      </w:r>
      <w:r w:rsidRPr="007D2E18">
        <w:rPr>
          <w:rFonts w:ascii="Times New Roman" w:hAnsi="Times New Roman" w:cs="Times New Roman"/>
          <w:b/>
          <w:bCs/>
          <w:sz w:val="24"/>
          <w:szCs w:val="24"/>
          <w:lang w:val="en-GB"/>
        </w:rPr>
        <w:t xml:space="preserve"> [+]</w:t>
      </w:r>
      <w:r w:rsidRPr="007D2E18">
        <w:rPr>
          <w:rFonts w:ascii="Times New Roman" w:hAnsi="Times New Roman" w:cs="Times New Roman"/>
          <w:sz w:val="24"/>
          <w:szCs w:val="24"/>
          <w:lang w:val="en-GB"/>
        </w:rPr>
        <w:t xml:space="preserve">. The </w:t>
      </w:r>
      <w:r w:rsidRPr="007D2E18">
        <w:rPr>
          <w:rFonts w:ascii="Times New Roman" w:hAnsi="Times New Roman" w:cs="Times New Roman"/>
          <w:i/>
          <w:iCs/>
          <w:sz w:val="24"/>
          <w:szCs w:val="24"/>
          <w:lang w:val="en-GB"/>
        </w:rPr>
        <w:t>Strategic Petroleum Reserve</w:t>
      </w:r>
      <w:r w:rsidRPr="007D2E18">
        <w:rPr>
          <w:rFonts w:ascii="Times New Roman" w:hAnsi="Times New Roman" w:cs="Times New Roman"/>
          <w:sz w:val="24"/>
          <w:szCs w:val="24"/>
          <w:lang w:val="en-GB"/>
        </w:rPr>
        <w:t xml:space="preserve"> (SPR) is the world</w:t>
      </w:r>
      <w:r w:rsidR="007220EE"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s greatest for-emergency reserve of oil, whose capacity achieves more than 700 million of barrels. This variable accounts for the United States announcements on sales with stabilisation purposes or domestic emergencies. An in-depth and up-to-date analysis of the use of the SPR can be found in Demirer and Kutan (2010).</w:t>
      </w:r>
    </w:p>
    <w:p w14:paraId="070BF193" w14:textId="77777777" w:rsidR="009E7487" w:rsidRPr="007D2E18" w:rsidRDefault="009E7487" w:rsidP="009E7487">
      <w:pPr>
        <w:pStyle w:val="Prrafodelista"/>
        <w:spacing w:after="0" w:line="240" w:lineRule="auto"/>
        <w:ind w:left="360"/>
        <w:jc w:val="both"/>
        <w:rPr>
          <w:rFonts w:ascii="Times New Roman" w:hAnsi="Times New Roman" w:cs="Times New Roman"/>
          <w:sz w:val="24"/>
          <w:szCs w:val="24"/>
          <w:lang w:val="en-GB"/>
        </w:rPr>
      </w:pPr>
    </w:p>
    <w:p w14:paraId="1422B301" w14:textId="703F3B83" w:rsidR="0085000C" w:rsidRPr="007D2E18" w:rsidRDefault="0085000C" w:rsidP="0046083F">
      <w:pPr>
        <w:pStyle w:val="Prrafodelista"/>
        <w:numPr>
          <w:ilvl w:val="0"/>
          <w:numId w:val="3"/>
        </w:numPr>
        <w:spacing w:after="0" w:line="240" w:lineRule="auto"/>
        <w:ind w:left="360"/>
        <w:jc w:val="both"/>
        <w:rPr>
          <w:rFonts w:ascii="Times New Roman" w:hAnsi="Times New Roman" w:cs="Times New Roman"/>
          <w:sz w:val="24"/>
          <w:szCs w:val="24"/>
          <w:lang w:val="en-GB"/>
        </w:rPr>
      </w:pPr>
      <w:r w:rsidRPr="007D2E18">
        <w:rPr>
          <w:rFonts w:ascii="Times New Roman" w:hAnsi="Times New Roman" w:cs="Times New Roman"/>
          <w:b/>
          <w:bCs/>
          <w:sz w:val="24"/>
          <w:szCs w:val="24"/>
          <w:lang w:val="en-GB"/>
        </w:rPr>
        <w:t>New announcements on discoveries, and site exploration [+]</w:t>
      </w:r>
      <w:r w:rsidRPr="007D2E18">
        <w:rPr>
          <w:rFonts w:ascii="Times New Roman" w:hAnsi="Times New Roman" w:cs="Times New Roman"/>
          <w:sz w:val="24"/>
          <w:szCs w:val="24"/>
          <w:lang w:val="en-GB"/>
        </w:rPr>
        <w:t>. News related to oilfield discoveries, explorations, drills, and strategic alliances between firms in order to exploit Middle East oilfields.</w:t>
      </w:r>
    </w:p>
    <w:p w14:paraId="44DB09C0" w14:textId="77777777" w:rsidR="009E7487" w:rsidRPr="007D2E18" w:rsidRDefault="009E7487" w:rsidP="009E7487">
      <w:pPr>
        <w:pStyle w:val="Prrafodelista"/>
        <w:spacing w:after="0" w:line="240" w:lineRule="auto"/>
        <w:ind w:left="360"/>
        <w:jc w:val="both"/>
        <w:rPr>
          <w:rFonts w:ascii="Times New Roman" w:hAnsi="Times New Roman" w:cs="Times New Roman"/>
          <w:sz w:val="24"/>
          <w:szCs w:val="24"/>
          <w:lang w:val="en-GB"/>
        </w:rPr>
      </w:pPr>
    </w:p>
    <w:p w14:paraId="1239DAB3" w14:textId="03921537" w:rsidR="0085000C" w:rsidRPr="007D2E18" w:rsidRDefault="0085000C" w:rsidP="0046083F">
      <w:pPr>
        <w:pStyle w:val="Prrafodelista"/>
        <w:numPr>
          <w:ilvl w:val="0"/>
          <w:numId w:val="3"/>
        </w:numPr>
        <w:spacing w:after="0" w:line="240" w:lineRule="auto"/>
        <w:ind w:left="360"/>
        <w:jc w:val="both"/>
        <w:rPr>
          <w:rFonts w:ascii="Times New Roman" w:hAnsi="Times New Roman" w:cs="Times New Roman"/>
          <w:sz w:val="24"/>
          <w:szCs w:val="24"/>
          <w:lang w:val="en-GB"/>
        </w:rPr>
      </w:pPr>
      <w:r w:rsidRPr="007D2E18">
        <w:rPr>
          <w:rFonts w:ascii="Times New Roman" w:hAnsi="Times New Roman" w:cs="Times New Roman"/>
          <w:b/>
          <w:bCs/>
          <w:sz w:val="24"/>
          <w:szCs w:val="24"/>
          <w:lang w:val="en-GB"/>
        </w:rPr>
        <w:t>Purely OPEC announcements [+/</w:t>
      </w:r>
      <w:r w:rsidR="0046083F" w:rsidRPr="007D2E18">
        <w:rPr>
          <w:rFonts w:ascii="Times New Roman" w:hAnsi="Times New Roman" w:cs="Times New Roman"/>
          <w:b/>
          <w:bCs/>
          <w:sz w:val="24"/>
          <w:szCs w:val="24"/>
          <w:lang w:val="en-GB"/>
        </w:rPr>
        <w:t>–</w:t>
      </w:r>
      <w:r w:rsidRPr="007D2E18">
        <w:rPr>
          <w:rFonts w:ascii="Times New Roman" w:hAnsi="Times New Roman" w:cs="Times New Roman"/>
          <w:b/>
          <w:bCs/>
          <w:sz w:val="24"/>
          <w:szCs w:val="24"/>
          <w:lang w:val="en-GB"/>
        </w:rPr>
        <w:t>]</w:t>
      </w:r>
      <w:r w:rsidRPr="007D2E18">
        <w:rPr>
          <w:rFonts w:ascii="Times New Roman" w:hAnsi="Times New Roman" w:cs="Times New Roman"/>
          <w:sz w:val="24"/>
          <w:szCs w:val="24"/>
          <w:lang w:val="en-GB"/>
        </w:rPr>
        <w:t>. Announcements on OPEC</w:t>
      </w:r>
      <w:r w:rsidR="0046083F"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 xml:space="preserve">s quotas reassignment or major maintenance works. This variable by itself constitutes the </w:t>
      </w:r>
      <w:r w:rsidRPr="007D2E18">
        <w:rPr>
          <w:rFonts w:ascii="Times New Roman" w:hAnsi="Times New Roman" w:cs="Times New Roman"/>
          <w:i/>
          <w:iCs/>
          <w:sz w:val="24"/>
          <w:szCs w:val="24"/>
          <w:lang w:val="en-GB"/>
        </w:rPr>
        <w:t>GT&amp;N-O</w:t>
      </w:r>
      <w:r w:rsidRPr="007D2E18">
        <w:rPr>
          <w:rFonts w:ascii="Times New Roman" w:hAnsi="Times New Roman" w:cs="Times New Roman"/>
          <w:sz w:val="24"/>
          <w:szCs w:val="24"/>
          <w:lang w:val="en-GB"/>
        </w:rPr>
        <w:t xml:space="preserve"> measure. In contrast, the sum of the previous nine make up </w:t>
      </w:r>
      <w:r w:rsidRPr="007D2E18">
        <w:rPr>
          <w:rFonts w:ascii="Times New Roman" w:hAnsi="Times New Roman" w:cs="Times New Roman"/>
          <w:i/>
          <w:iCs/>
          <w:sz w:val="24"/>
          <w:szCs w:val="24"/>
          <w:lang w:val="en-GB"/>
        </w:rPr>
        <w:t>GT&amp;N-NO</w:t>
      </w:r>
      <w:r w:rsidRPr="007D2E18">
        <w:rPr>
          <w:rFonts w:ascii="Times New Roman" w:hAnsi="Times New Roman" w:cs="Times New Roman"/>
          <w:sz w:val="24"/>
          <w:szCs w:val="24"/>
          <w:lang w:val="en-GB"/>
        </w:rPr>
        <w:t>.</w:t>
      </w:r>
    </w:p>
    <w:p w14:paraId="6CA1DD9E" w14:textId="77777777" w:rsidR="0085000C" w:rsidRPr="007D2E18" w:rsidRDefault="0085000C" w:rsidP="00A456AE">
      <w:pPr>
        <w:spacing w:after="0" w:line="240" w:lineRule="auto"/>
        <w:jc w:val="both"/>
        <w:rPr>
          <w:rFonts w:ascii="Times New Roman" w:hAnsi="Times New Roman" w:cs="Times New Roman"/>
          <w:sz w:val="24"/>
          <w:szCs w:val="24"/>
          <w:lang w:val="en-GB"/>
        </w:rPr>
      </w:pPr>
    </w:p>
    <w:p w14:paraId="18BFE73E" w14:textId="77777777" w:rsidR="0085000C" w:rsidRPr="007D2E18" w:rsidRDefault="0085000C" w:rsidP="0046083F">
      <w:pPr>
        <w:spacing w:after="0" w:line="240" w:lineRule="auto"/>
        <w:jc w:val="center"/>
        <w:rPr>
          <w:rFonts w:ascii="Times New Roman" w:hAnsi="Times New Roman" w:cs="Times New Roman"/>
          <w:lang w:val="en-GB"/>
        </w:rPr>
      </w:pPr>
      <w:r w:rsidRPr="007D2E18">
        <w:rPr>
          <w:rFonts w:ascii="Times New Roman" w:hAnsi="Times New Roman" w:cs="Times New Roman"/>
          <w:lang w:val="en-GB"/>
        </w:rPr>
        <w:t xml:space="preserve">Figure A1. </w:t>
      </w:r>
      <w:r w:rsidRPr="007D2E18">
        <w:rPr>
          <w:rFonts w:ascii="Times New Roman" w:hAnsi="Times New Roman" w:cs="Times New Roman"/>
          <w:i/>
          <w:iCs/>
          <w:lang w:val="en-GB"/>
        </w:rPr>
        <w:t>GT&amp;N</w:t>
      </w:r>
      <w:r w:rsidRPr="007D2E18">
        <w:rPr>
          <w:rFonts w:ascii="Times New Roman" w:hAnsi="Times New Roman" w:cs="Times New Roman"/>
          <w:lang w:val="en-GB"/>
        </w:rPr>
        <w:t xml:space="preserve"> variable composition: all events (*)</w:t>
      </w:r>
    </w:p>
    <w:p w14:paraId="2E25D1F2" w14:textId="16BABAFE" w:rsidR="0085000C" w:rsidRPr="007D2E18" w:rsidRDefault="0085000C" w:rsidP="0046083F">
      <w:pPr>
        <w:spacing w:after="0" w:line="240" w:lineRule="auto"/>
        <w:jc w:val="center"/>
        <w:rPr>
          <w:rFonts w:ascii="Times New Roman" w:hAnsi="Times New Roman" w:cs="Times New Roman"/>
          <w:lang w:val="en-GB"/>
        </w:rPr>
      </w:pPr>
      <w:r w:rsidRPr="007D2E18">
        <w:rPr>
          <w:rFonts w:ascii="Times New Roman" w:hAnsi="Times New Roman" w:cs="Times New Roman"/>
          <w:lang w:val="en-GB"/>
        </w:rPr>
        <w:t>(*) Sample: 2001.1-2012.3. Source: Authors</w:t>
      </w:r>
      <w:r w:rsidR="0046083F" w:rsidRPr="007D2E18">
        <w:rPr>
          <w:rFonts w:ascii="Times New Roman" w:hAnsi="Times New Roman" w:cs="Times New Roman"/>
          <w:lang w:val="en-GB"/>
        </w:rPr>
        <w:t>’</w:t>
      </w:r>
      <w:r w:rsidRPr="007D2E18">
        <w:rPr>
          <w:rFonts w:ascii="Times New Roman" w:hAnsi="Times New Roman" w:cs="Times New Roman"/>
          <w:lang w:val="en-GB"/>
        </w:rPr>
        <w:t xml:space="preserve"> calculations using data from López and Muñoz (2012).</w:t>
      </w:r>
    </w:p>
    <w:p w14:paraId="7BF3F6D2" w14:textId="77777777" w:rsidR="0085000C" w:rsidRPr="007D2E18" w:rsidRDefault="0085000C" w:rsidP="00A456AE">
      <w:pPr>
        <w:spacing w:after="0" w:line="240" w:lineRule="auto"/>
        <w:jc w:val="both"/>
        <w:rPr>
          <w:rFonts w:ascii="Times New Roman" w:hAnsi="Times New Roman" w:cs="Times New Roman"/>
          <w:sz w:val="24"/>
          <w:szCs w:val="24"/>
          <w:lang w:val="en-GB"/>
        </w:rPr>
      </w:pPr>
    </w:p>
    <w:p w14:paraId="5950C22F" w14:textId="208E53C6" w:rsidR="0085000C" w:rsidRPr="007D2E18" w:rsidRDefault="0046083F" w:rsidP="0046083F">
      <w:pPr>
        <w:spacing w:after="0" w:line="240" w:lineRule="auto"/>
        <w:jc w:val="center"/>
        <w:rPr>
          <w:rFonts w:ascii="Times New Roman" w:hAnsi="Times New Roman" w:cs="Times New Roman"/>
          <w:b/>
          <w:bCs/>
          <w:sz w:val="24"/>
          <w:szCs w:val="24"/>
          <w:lang w:val="en-GB"/>
        </w:rPr>
      </w:pPr>
      <w:r w:rsidRPr="007D2E18">
        <w:rPr>
          <w:rFonts w:ascii="Times New Roman" w:hAnsi="Times New Roman" w:cs="Times New Roman"/>
          <w:b/>
          <w:bCs/>
          <w:sz w:val="24"/>
          <w:szCs w:val="24"/>
          <w:lang w:val="en-GB"/>
        </w:rPr>
        <w:t>APPENDIX B:</w:t>
      </w:r>
    </w:p>
    <w:p w14:paraId="0A36747F" w14:textId="5A41A566" w:rsidR="0085000C" w:rsidRPr="007D2E18" w:rsidRDefault="0046083F" w:rsidP="0046083F">
      <w:pPr>
        <w:spacing w:after="0" w:line="240" w:lineRule="auto"/>
        <w:jc w:val="center"/>
        <w:rPr>
          <w:rFonts w:ascii="Times New Roman" w:hAnsi="Times New Roman" w:cs="Times New Roman"/>
          <w:b/>
          <w:bCs/>
          <w:sz w:val="24"/>
          <w:szCs w:val="24"/>
          <w:lang w:val="en-GB"/>
        </w:rPr>
      </w:pPr>
      <w:r w:rsidRPr="007D2E18">
        <w:rPr>
          <w:rFonts w:ascii="Times New Roman" w:hAnsi="Times New Roman" w:cs="Times New Roman"/>
          <w:b/>
          <w:bCs/>
          <w:sz w:val="24"/>
          <w:szCs w:val="24"/>
          <w:lang w:val="en-GB"/>
        </w:rPr>
        <w:t>ROBUSTNESS RESULTS USING THE JACKKNIFE ESTIMATOR</w:t>
      </w:r>
    </w:p>
    <w:p w14:paraId="576687CF" w14:textId="77777777" w:rsidR="0046083F" w:rsidRPr="007D2E18" w:rsidRDefault="0046083F" w:rsidP="00A456AE">
      <w:pPr>
        <w:spacing w:after="0" w:line="240" w:lineRule="auto"/>
        <w:jc w:val="both"/>
        <w:rPr>
          <w:rFonts w:ascii="Times New Roman" w:hAnsi="Times New Roman" w:cs="Times New Roman"/>
          <w:sz w:val="24"/>
          <w:szCs w:val="24"/>
          <w:lang w:val="en-GB"/>
        </w:rPr>
      </w:pPr>
    </w:p>
    <w:p w14:paraId="7064F51C" w14:textId="4A99B4F2" w:rsidR="0085000C"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Baseline results of Tables 3-5 suggest that all considered geopolitical tensions and news do affect the oil price, its forecasts and the dispersion around those forecasts. Moreover, non-OPEC news and tensions also cause the current oil prices as well as forecasts and its dispersion in immediate time. Finally, OPEC news and tensions are caused by oil prices and exhibit a feedback relationship with oil price forecasts</w:t>
      </w:r>
      <w:r w:rsidR="007220EE"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 xml:space="preserve"> dispersion. This relegates OPEC as a source of information for oil price expectations formation and are ultimately a wider range of geopolitical tensions and news affecting actual oil price.</w:t>
      </w:r>
    </w:p>
    <w:p w14:paraId="49286E8F" w14:textId="77777777" w:rsidR="0046083F" w:rsidRPr="007D2E18" w:rsidRDefault="0046083F" w:rsidP="00A456AE">
      <w:pPr>
        <w:spacing w:after="0" w:line="240" w:lineRule="auto"/>
        <w:jc w:val="both"/>
        <w:rPr>
          <w:rFonts w:ascii="Times New Roman" w:hAnsi="Times New Roman" w:cs="Times New Roman"/>
          <w:sz w:val="24"/>
          <w:szCs w:val="24"/>
          <w:lang w:val="en-GB"/>
        </w:rPr>
      </w:pPr>
    </w:p>
    <w:p w14:paraId="497040AD" w14:textId="0B4571DC" w:rsidR="009E7487"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In this appendix, we perform the same analysis making use of the jackknife coefficients</w:t>
      </w:r>
      <w:r w:rsidR="007220EE"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 xml:space="preserve"> standard deviation instead of the Newey-West estimator. The results using the </w:t>
      </w:r>
      <w:r w:rsidRPr="007D2E18">
        <w:rPr>
          <w:rFonts w:ascii="Times New Roman" w:hAnsi="Times New Roman" w:cs="Times New Roman"/>
          <w:i/>
          <w:iCs/>
          <w:sz w:val="24"/>
          <w:szCs w:val="24"/>
          <w:lang w:val="en-GB"/>
        </w:rPr>
        <w:t>GT&amp;N</w:t>
      </w:r>
      <w:r w:rsidRPr="007D2E18">
        <w:rPr>
          <w:rFonts w:ascii="Times New Roman" w:hAnsi="Times New Roman" w:cs="Times New Roman"/>
          <w:sz w:val="24"/>
          <w:szCs w:val="24"/>
          <w:lang w:val="en-GB"/>
        </w:rPr>
        <w:t xml:space="preserve"> variable are reported in Table B1. The first panel indicates that the fifth lag of geopolitical tensions and news cause the oil price, supported by the rejection of serial correlation hypothesis (baseline results are significant from the third lag onwards). Similar to the baseline results, H1 Inverse indicates that the relationship is unidirectional from </w:t>
      </w:r>
      <w:r w:rsidRPr="007D2E18">
        <w:rPr>
          <w:rFonts w:ascii="Times New Roman" w:hAnsi="Times New Roman" w:cs="Times New Roman"/>
          <w:i/>
          <w:iCs/>
          <w:sz w:val="24"/>
          <w:szCs w:val="24"/>
          <w:lang w:val="en-GB"/>
        </w:rPr>
        <w:t>GT&amp;N</w:t>
      </w:r>
      <w:r w:rsidRPr="007D2E18">
        <w:rPr>
          <w:rFonts w:ascii="Times New Roman" w:hAnsi="Times New Roman" w:cs="Times New Roman"/>
          <w:sz w:val="24"/>
          <w:szCs w:val="24"/>
          <w:lang w:val="en-GB"/>
        </w:rPr>
        <w:t xml:space="preserve"> to the oil price. The second panel shows that geopolitical tensions and news cause oil price forecasts from the fifth lag to sixth, and there is not a feedback relationship between variables. The results are supported by non-autocorrelated residuals and are qualitatively similar to baseline results. In the same line, the third panel also reveals a feedback relationship between </w:t>
      </w:r>
      <w:r w:rsidRPr="007D2E18">
        <w:rPr>
          <w:rFonts w:ascii="Times New Roman" w:hAnsi="Times New Roman" w:cs="Times New Roman"/>
          <w:i/>
          <w:iCs/>
          <w:sz w:val="24"/>
          <w:szCs w:val="24"/>
          <w:lang w:val="en-GB"/>
        </w:rPr>
        <w:t>GT&amp;N</w:t>
      </w:r>
      <w:r w:rsidRPr="007D2E18">
        <w:rPr>
          <w:rFonts w:ascii="Times New Roman" w:hAnsi="Times New Roman" w:cs="Times New Roman"/>
          <w:sz w:val="24"/>
          <w:szCs w:val="24"/>
          <w:lang w:val="en-GB"/>
        </w:rPr>
        <w:t xml:space="preserve"> and oil price forecasts</w:t>
      </w:r>
      <w:r w:rsidR="007220EE"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 xml:space="preserve"> dispersion, meaning that tensions and news affect current oil prices and, at the same time, the dispersion triggers news and tensions on oil supplier countries.</w:t>
      </w:r>
    </w:p>
    <w:p w14:paraId="013FE868" w14:textId="77777777" w:rsidR="009E7487" w:rsidRPr="007D2E18" w:rsidRDefault="009E7487" w:rsidP="00A456AE">
      <w:pPr>
        <w:spacing w:after="0" w:line="240" w:lineRule="auto"/>
        <w:jc w:val="both"/>
        <w:rPr>
          <w:rFonts w:ascii="Times New Roman" w:hAnsi="Times New Roman" w:cs="Times New Roman"/>
          <w:sz w:val="24"/>
          <w:szCs w:val="24"/>
          <w:lang w:val="en-GB"/>
        </w:rPr>
      </w:pPr>
    </w:p>
    <w:p w14:paraId="4A2AF3CD" w14:textId="17774EF5" w:rsidR="009E7487" w:rsidRPr="007D2E18" w:rsidRDefault="0085000C" w:rsidP="00A456AE">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The results using purely OPEC news are presented in Table B2. The first panel provides similar results to baseline estimations, rejecting the causality of OPEC</w:t>
      </w:r>
      <w:r w:rsidR="009E7487"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s geopolitical tensions and news to oil prices, but supporting the causality the other way around</w:t>
      </w:r>
      <w:r w:rsidR="009E7487"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from</w:t>
      </w:r>
      <w:r w:rsidR="009E7487" w:rsidRPr="007D2E18">
        <w:rPr>
          <w:rFonts w:ascii="Times New Roman" w:hAnsi="Times New Roman" w:cs="Times New Roman"/>
          <w:sz w:val="24"/>
          <w:szCs w:val="24"/>
          <w:lang w:val="en-GB"/>
        </w:rPr>
        <w:t xml:space="preserve"> </w:t>
      </w:r>
      <w:r w:rsidRPr="007D2E18">
        <w:rPr>
          <w:rFonts w:ascii="Times New Roman" w:hAnsi="Times New Roman" w:cs="Times New Roman"/>
          <w:sz w:val="24"/>
          <w:szCs w:val="24"/>
          <w:lang w:val="en-GB"/>
        </w:rPr>
        <w:t xml:space="preserve">actual oil price to OPEC tensions and news. A small twist compared to baseline results is found in the second panel in which, besides OPEC causality of oil price forecasts, the latter cause the former with the first lag, transforming the link between both variables into a feedback relationship. Notice that the first lag of the forecast series causing OPEC tensions and news is not necessarily invalidating when considering that the current price actually causes OPEC news and tensions. It is likely that, in a persistent series such as oil price, lags of actual variable determine its one-step-ahead forecast. Interestingly, the third panel suggests that OPEC tensions and news cause </w:t>
      </w:r>
      <w:r w:rsidRPr="007D2E18">
        <w:rPr>
          <w:rFonts w:ascii="Times New Roman" w:hAnsi="Times New Roman" w:cs="Times New Roman"/>
          <w:sz w:val="24"/>
          <w:szCs w:val="24"/>
          <w:lang w:val="en-GB"/>
        </w:rPr>
        <w:lastRenderedPageBreak/>
        <w:t>forecast dispersion with the third lag, and also the causality goes in the opposite direction. This result supports the core claim of this article, giving a secondary role to OPEC as price setter, but still being relevant for forecasters and expectations formation.</w:t>
      </w:r>
    </w:p>
    <w:p w14:paraId="314551E3" w14:textId="77777777" w:rsidR="009E7487" w:rsidRPr="007D2E18" w:rsidRDefault="009E7487" w:rsidP="00A456AE">
      <w:pPr>
        <w:spacing w:after="0" w:line="240" w:lineRule="auto"/>
        <w:jc w:val="both"/>
        <w:rPr>
          <w:rFonts w:ascii="Times New Roman" w:hAnsi="Times New Roman" w:cs="Times New Roman"/>
          <w:sz w:val="24"/>
          <w:szCs w:val="24"/>
          <w:lang w:val="en-GB"/>
        </w:rPr>
      </w:pPr>
    </w:p>
    <w:p w14:paraId="7B38F9D8" w14:textId="3C3E3625" w:rsidR="0085000C" w:rsidRPr="007D2E18" w:rsidRDefault="0085000C" w:rsidP="009E7487">
      <w:pPr>
        <w:spacing w:after="0" w:line="240" w:lineRule="auto"/>
        <w:jc w:val="center"/>
        <w:rPr>
          <w:rFonts w:ascii="Times New Roman" w:hAnsi="Times New Roman" w:cs="Times New Roman"/>
          <w:lang w:val="en-GB"/>
        </w:rPr>
      </w:pPr>
      <w:r w:rsidRPr="007D2E18">
        <w:rPr>
          <w:rFonts w:ascii="Times New Roman" w:hAnsi="Times New Roman" w:cs="Times New Roman"/>
          <w:lang w:val="en-GB"/>
        </w:rPr>
        <w:t>Table B1. Granger causality testing results: all events (*)</w:t>
      </w:r>
    </w:p>
    <w:p w14:paraId="3DA0577F" w14:textId="5ADDD4FC" w:rsidR="009E7487" w:rsidRPr="007D2E18" w:rsidRDefault="0085000C" w:rsidP="00A456AE">
      <w:pPr>
        <w:spacing w:after="0" w:line="240" w:lineRule="auto"/>
        <w:jc w:val="both"/>
        <w:rPr>
          <w:rFonts w:ascii="Times New Roman" w:hAnsi="Times New Roman" w:cs="Times New Roman"/>
          <w:lang w:val="en-GB"/>
        </w:rPr>
      </w:pPr>
      <w:r w:rsidRPr="007D2E18">
        <w:rPr>
          <w:rFonts w:ascii="Times New Roman" w:hAnsi="Times New Roman" w:cs="Times New Roman"/>
          <w:lang w:val="en-GB"/>
        </w:rPr>
        <w:t>(*) Fixed lags of the dependent variable (</w:t>
      </w:r>
      <m:oMath>
        <m:sSub>
          <m:sSubPr>
            <m:ctrlPr>
              <w:rPr>
                <w:rFonts w:ascii="Cambria Math" w:hAnsi="Cambria Math" w:cs="Times New Roman"/>
                <w:i/>
                <w:lang w:val="en-GB"/>
              </w:rPr>
            </m:ctrlPr>
          </m:sSubPr>
          <m:e>
            <m:r>
              <w:rPr>
                <w:rFonts w:ascii="Cambria Math" w:hAnsi="Cambria Math" w:cs="Times New Roman"/>
                <w:lang w:val="en-GB"/>
              </w:rPr>
              <m:t>p</m:t>
            </m:r>
          </m:e>
          <m:sub>
            <m:r>
              <w:rPr>
                <w:rFonts w:ascii="Cambria Math" w:hAnsi="Cambria Math" w:cs="Times New Roman"/>
                <w:lang w:val="en-GB"/>
              </w:rPr>
              <m:t>y</m:t>
            </m:r>
          </m:sub>
        </m:sSub>
      </m:oMath>
      <w:r w:rsidRPr="007D2E18">
        <w:rPr>
          <w:rFonts w:ascii="Times New Roman" w:hAnsi="Times New Roman" w:cs="Times New Roman"/>
          <w:lang w:val="en-GB"/>
        </w:rPr>
        <w:t xml:space="preserve">) in the baseline (inverse) regression: 3 (1). </w:t>
      </w:r>
      <w:r w:rsidR="009E7487" w:rsidRPr="007D2E18">
        <w:rPr>
          <w:rFonts w:ascii="Times New Roman" w:hAnsi="Times New Roman" w:cs="Times New Roman"/>
          <w:lang w:val="en-GB"/>
        </w:rPr>
        <w:t>“</w:t>
      </w:r>
      <w:r w:rsidRPr="007D2E18">
        <w:rPr>
          <w:rFonts w:ascii="Times New Roman" w:hAnsi="Times New Roman" w:cs="Times New Roman"/>
          <w:lang w:val="en-GB"/>
        </w:rPr>
        <w:t>F-stat.</w:t>
      </w:r>
      <w:r w:rsidR="009E7487" w:rsidRPr="007D2E18">
        <w:rPr>
          <w:rFonts w:ascii="Times New Roman" w:hAnsi="Times New Roman" w:cs="Times New Roman"/>
          <w:lang w:val="en-GB"/>
        </w:rPr>
        <w:t>”</w:t>
      </w:r>
      <w:r w:rsidRPr="007D2E18">
        <w:rPr>
          <w:rFonts w:ascii="Times New Roman" w:hAnsi="Times New Roman" w:cs="Times New Roman"/>
          <w:lang w:val="en-GB"/>
        </w:rPr>
        <w:t xml:space="preserve"> corresponds to the core statistic of the F-test based on ordinary least square estimates with </w:t>
      </w:r>
      <m:oMath>
        <m:sSub>
          <m:sSubPr>
            <m:ctrlPr>
              <w:rPr>
                <w:rFonts w:ascii="Cambria Math" w:hAnsi="Cambria Math" w:cs="Times New Roman"/>
                <w:i/>
                <w:lang w:val="en-GB"/>
              </w:rPr>
            </m:ctrlPr>
          </m:sSubPr>
          <m:e>
            <m:r>
              <w:rPr>
                <w:rFonts w:ascii="Cambria Math" w:hAnsi="Cambria Math" w:cs="Times New Roman"/>
                <w:lang w:val="en-GB"/>
              </w:rPr>
              <m:t>p</m:t>
            </m:r>
          </m:e>
          <m:sub>
            <m:r>
              <w:rPr>
                <w:rFonts w:ascii="Cambria Math" w:hAnsi="Cambria Math" w:cs="Times New Roman"/>
                <w:lang w:val="en-GB"/>
              </w:rPr>
              <m:t>x</m:t>
            </m:r>
          </m:sub>
        </m:sSub>
      </m:oMath>
      <w:r w:rsidRPr="007D2E18">
        <w:rPr>
          <w:rFonts w:ascii="Times New Roman" w:hAnsi="Times New Roman" w:cs="Times New Roman"/>
          <w:lang w:val="en-GB"/>
        </w:rPr>
        <w:t xml:space="preserve"> lags, using the jackknife estimator for coefficients</w:t>
      </w:r>
      <w:r w:rsidR="009E7487" w:rsidRPr="007D2E18">
        <w:rPr>
          <w:rFonts w:ascii="Times New Roman" w:hAnsi="Times New Roman" w:cs="Times New Roman"/>
          <w:lang w:val="en-GB"/>
        </w:rPr>
        <w:t>’</w:t>
      </w:r>
      <w:r w:rsidRPr="007D2E18">
        <w:rPr>
          <w:rFonts w:ascii="Times New Roman" w:hAnsi="Times New Roman" w:cs="Times New Roman"/>
          <w:lang w:val="en-GB"/>
        </w:rPr>
        <w:t xml:space="preserve"> standard deviation. </w:t>
      </w:r>
      <w:r w:rsidR="009E7487" w:rsidRPr="007D2E18">
        <w:rPr>
          <w:rFonts w:ascii="Times New Roman" w:hAnsi="Times New Roman" w:cs="Times New Roman"/>
          <w:lang w:val="en-GB"/>
        </w:rPr>
        <w:t>“</w:t>
      </w:r>
      <m:oMath>
        <m:r>
          <w:rPr>
            <w:rFonts w:ascii="Cambria Math" w:hAnsi="Cambria Math" w:cs="Times New Roman"/>
            <w:lang w:val="en-GB"/>
          </w:rPr>
          <m:t>p</m:t>
        </m:r>
      </m:oMath>
      <w:r w:rsidRPr="007D2E18">
        <w:rPr>
          <w:rFonts w:ascii="Times New Roman" w:hAnsi="Times New Roman" w:cs="Times New Roman"/>
          <w:lang w:val="en-GB"/>
        </w:rPr>
        <w:t>-value</w:t>
      </w:r>
      <w:r w:rsidR="009E7487" w:rsidRPr="007D2E18">
        <w:rPr>
          <w:rFonts w:ascii="Times New Roman" w:hAnsi="Times New Roman" w:cs="Times New Roman"/>
          <w:lang w:val="en-GB"/>
        </w:rPr>
        <w:t>”</w:t>
      </w:r>
      <w:r w:rsidRPr="007D2E18">
        <w:rPr>
          <w:rFonts w:ascii="Times New Roman" w:hAnsi="Times New Roman" w:cs="Times New Roman"/>
          <w:lang w:val="en-GB"/>
        </w:rPr>
        <w:t xml:space="preserve"> corresponds to the </w:t>
      </w:r>
      <m:oMath>
        <m:r>
          <w:rPr>
            <w:rFonts w:ascii="Cambria Math" w:hAnsi="Cambria Math" w:cs="Times New Roman"/>
            <w:lang w:val="en-GB"/>
          </w:rPr>
          <m:t>p</m:t>
        </m:r>
      </m:oMath>
      <w:r w:rsidRPr="007D2E18">
        <w:rPr>
          <w:rFonts w:ascii="Times New Roman" w:hAnsi="Times New Roman" w:cs="Times New Roman"/>
          <w:lang w:val="en-GB"/>
        </w:rPr>
        <w:t xml:space="preserve">-value of the null hypothesis that </w:t>
      </w:r>
      <m:oMath>
        <m:sSub>
          <m:sSubPr>
            <m:ctrlPr>
              <w:rPr>
                <w:rFonts w:ascii="Cambria Math" w:hAnsi="Cambria Math" w:cs="Times New Roman"/>
                <w:i/>
                <w:lang w:val="en-GB"/>
              </w:rPr>
            </m:ctrlPr>
          </m:sSubPr>
          <m:e>
            <m:r>
              <w:rPr>
                <w:rFonts w:ascii="Cambria Math" w:hAnsi="Cambria Math" w:cs="Times New Roman"/>
                <w:lang w:val="en-GB"/>
              </w:rPr>
              <m:t>x</m:t>
            </m:r>
          </m:e>
          <m:sub>
            <m:r>
              <w:rPr>
                <w:rFonts w:ascii="Cambria Math" w:hAnsi="Cambria Math" w:cs="Times New Roman"/>
                <w:lang w:val="en-GB"/>
              </w:rPr>
              <m:t>t</m:t>
            </m:r>
          </m:sub>
        </m:sSub>
      </m:oMath>
      <w:r w:rsidRPr="007D2E18">
        <w:rPr>
          <w:rFonts w:ascii="Times New Roman" w:hAnsi="Times New Roman" w:cs="Times New Roman"/>
          <w:lang w:val="en-GB"/>
        </w:rPr>
        <w:t xml:space="preserve"> do not Granger cause </w:t>
      </w:r>
      <m:oMath>
        <m:sSub>
          <m:sSubPr>
            <m:ctrlPr>
              <w:rPr>
                <w:rFonts w:ascii="Cambria Math" w:hAnsi="Cambria Math" w:cs="Times New Roman"/>
                <w:i/>
                <w:lang w:val="en-GB"/>
              </w:rPr>
            </m:ctrlPr>
          </m:sSubPr>
          <m:e>
            <m:r>
              <w:rPr>
                <w:rFonts w:ascii="Cambria Math" w:hAnsi="Cambria Math" w:cs="Times New Roman"/>
                <w:lang w:val="en-GB"/>
              </w:rPr>
              <m:t>y</m:t>
            </m:r>
          </m:e>
          <m:sub>
            <m:r>
              <w:rPr>
                <w:rFonts w:ascii="Cambria Math" w:hAnsi="Cambria Math" w:cs="Times New Roman"/>
                <w:lang w:val="en-GB"/>
              </w:rPr>
              <m:t>t</m:t>
            </m:r>
          </m:sub>
        </m:sSub>
      </m:oMath>
      <w:r w:rsidRPr="007D2E18">
        <w:rPr>
          <w:rFonts w:ascii="Times New Roman" w:hAnsi="Times New Roman" w:cs="Times New Roman"/>
          <w:lang w:val="en-GB"/>
        </w:rPr>
        <w:t xml:space="preserve">. </w:t>
      </w:r>
      <w:r w:rsidR="009E7487" w:rsidRPr="007D2E18">
        <w:rPr>
          <w:rFonts w:ascii="Times New Roman" w:hAnsi="Times New Roman" w:cs="Times New Roman"/>
          <w:lang w:val="en-GB"/>
        </w:rPr>
        <w:t>“</w:t>
      </w:r>
      <w:r w:rsidRPr="007D2E18">
        <w:rPr>
          <w:rFonts w:ascii="Times New Roman" w:hAnsi="Times New Roman" w:cs="Times New Roman"/>
          <w:lang w:val="en-GB"/>
        </w:rPr>
        <w:t>R-sq. adj.</w:t>
      </w:r>
      <w:r w:rsidR="009E7487" w:rsidRPr="007D2E18">
        <w:rPr>
          <w:rFonts w:ascii="Times New Roman" w:hAnsi="Times New Roman" w:cs="Times New Roman"/>
          <w:lang w:val="en-GB"/>
        </w:rPr>
        <w:t>”</w:t>
      </w:r>
      <w:r w:rsidRPr="007D2E18">
        <w:rPr>
          <w:rFonts w:ascii="Times New Roman" w:hAnsi="Times New Roman" w:cs="Times New Roman"/>
          <w:lang w:val="en-GB"/>
        </w:rPr>
        <w:t xml:space="preserve"> denotes the adjusted goodness-of-fit coefficient of the regression. </w:t>
      </w:r>
      <w:r w:rsidR="009E7487" w:rsidRPr="007D2E18">
        <w:rPr>
          <w:rFonts w:ascii="Times New Roman" w:hAnsi="Times New Roman" w:cs="Times New Roman"/>
          <w:lang w:val="en-GB"/>
        </w:rPr>
        <w:t>“</w:t>
      </w:r>
      <w:r w:rsidRPr="007D2E18">
        <w:rPr>
          <w:rFonts w:ascii="Times New Roman" w:hAnsi="Times New Roman" w:cs="Times New Roman"/>
          <w:lang w:val="en-GB"/>
        </w:rPr>
        <w:t>Infrc.</w:t>
      </w:r>
      <w:r w:rsidR="009E7487" w:rsidRPr="007D2E18">
        <w:rPr>
          <w:rFonts w:ascii="Times New Roman" w:hAnsi="Times New Roman" w:cs="Times New Roman"/>
          <w:lang w:val="en-GB"/>
        </w:rPr>
        <w:t>”</w:t>
      </w:r>
      <w:r w:rsidRPr="007D2E18">
        <w:rPr>
          <w:rFonts w:ascii="Times New Roman" w:hAnsi="Times New Roman" w:cs="Times New Roman"/>
          <w:lang w:val="en-GB"/>
        </w:rPr>
        <w:t xml:space="preserve"> synthetizes Granger</w:t>
      </w:r>
      <w:r w:rsidR="009E7487" w:rsidRPr="007D2E18">
        <w:rPr>
          <w:rFonts w:ascii="Times New Roman" w:hAnsi="Times New Roman" w:cs="Times New Roman"/>
          <w:lang w:val="en-GB"/>
        </w:rPr>
        <w:t>’</w:t>
      </w:r>
      <w:r w:rsidRPr="007D2E18">
        <w:rPr>
          <w:rFonts w:ascii="Times New Roman" w:hAnsi="Times New Roman" w:cs="Times New Roman"/>
          <w:lang w:val="en-GB"/>
        </w:rPr>
        <w:t xml:space="preserve">s causality statistical inference. </w:t>
      </w:r>
      <w:r w:rsidR="009E7487" w:rsidRPr="007D2E18">
        <w:rPr>
          <w:rFonts w:ascii="Times New Roman" w:hAnsi="Times New Roman" w:cs="Times New Roman"/>
          <w:lang w:val="en-GB"/>
        </w:rPr>
        <w:t>“</w:t>
      </w:r>
      <w:r w:rsidRPr="007D2E18">
        <w:rPr>
          <w:rFonts w:ascii="Times New Roman" w:hAnsi="Times New Roman" w:cs="Times New Roman"/>
          <w:lang w:val="en-GB"/>
        </w:rPr>
        <w:t>BG</w:t>
      </w:r>
      <w:r w:rsidR="009E7487" w:rsidRPr="007D2E18">
        <w:rPr>
          <w:rFonts w:ascii="Times New Roman" w:hAnsi="Times New Roman" w:cs="Times New Roman"/>
          <w:lang w:val="en-GB"/>
        </w:rPr>
        <w:t>”</w:t>
      </w:r>
      <w:r w:rsidRPr="007D2E18">
        <w:rPr>
          <w:rFonts w:ascii="Times New Roman" w:hAnsi="Times New Roman" w:cs="Times New Roman"/>
          <w:lang w:val="en-GB"/>
        </w:rPr>
        <w:t xml:space="preserve"> stands for the </w:t>
      </w:r>
      <m:oMath>
        <m:r>
          <w:rPr>
            <w:rFonts w:ascii="Cambria Math" w:hAnsi="Cambria Math" w:cs="Times New Roman"/>
            <w:lang w:val="en-GB"/>
          </w:rPr>
          <m:t>p</m:t>
        </m:r>
      </m:oMath>
      <w:r w:rsidRPr="007D2E18">
        <w:rPr>
          <w:rFonts w:ascii="Times New Roman" w:hAnsi="Times New Roman" w:cs="Times New Roman"/>
          <w:lang w:val="en-GB"/>
        </w:rPr>
        <w:t xml:space="preserve">-value of the Breusch-Godfrey test, whose null hypothesis is no serial correlation up to the sixth lag. Sample: 2001.1-2012.3 (135 observations). </w:t>
      </w:r>
      <m:oMath>
        <m:r>
          <w:rPr>
            <w:rFonts w:ascii="Cambria Math" w:hAnsi="Cambria Math" w:cs="Times New Roman"/>
            <w:lang w:val="en-GB"/>
          </w:rPr>
          <m:t>p</m:t>
        </m:r>
      </m:oMath>
      <w:r w:rsidRPr="007D2E18">
        <w:rPr>
          <w:rFonts w:ascii="Times New Roman" w:hAnsi="Times New Roman" w:cs="Times New Roman"/>
          <w:lang w:val="en-GB"/>
        </w:rPr>
        <w:t>-value: bold&lt;15%; italics&gt;15%. Source: Authors</w:t>
      </w:r>
      <w:r w:rsidR="009E7487" w:rsidRPr="007D2E18">
        <w:rPr>
          <w:rFonts w:ascii="Times New Roman" w:hAnsi="Times New Roman" w:cs="Times New Roman"/>
          <w:lang w:val="en-GB"/>
        </w:rPr>
        <w:t>’</w:t>
      </w:r>
      <w:r w:rsidRPr="007D2E18">
        <w:rPr>
          <w:rFonts w:ascii="Times New Roman" w:hAnsi="Times New Roman" w:cs="Times New Roman"/>
          <w:lang w:val="en-GB"/>
        </w:rPr>
        <w:t xml:space="preserve"> calculations.</w:t>
      </w:r>
    </w:p>
    <w:p w14:paraId="5E044C37" w14:textId="77777777" w:rsidR="009E7487" w:rsidRPr="007D2E18" w:rsidRDefault="009E7487" w:rsidP="00A456AE">
      <w:pPr>
        <w:spacing w:after="0" w:line="240" w:lineRule="auto"/>
        <w:jc w:val="both"/>
        <w:rPr>
          <w:rFonts w:ascii="Times New Roman" w:hAnsi="Times New Roman" w:cs="Times New Roman"/>
          <w:lang w:val="en-GB"/>
        </w:rPr>
      </w:pPr>
    </w:p>
    <w:p w14:paraId="378F5C4A" w14:textId="17EFAB59" w:rsidR="0085000C" w:rsidRPr="007D2E18" w:rsidRDefault="0085000C" w:rsidP="00FF45C7">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Finally, the results using non-OPEC geopolitical tensions and news are presented in Table B3. First and second panels are virtually the same to those of Table 5, with </w:t>
      </w:r>
      <w:r w:rsidRPr="007D2E18">
        <w:rPr>
          <w:rFonts w:ascii="Times New Roman" w:hAnsi="Times New Roman" w:cs="Times New Roman"/>
          <w:i/>
          <w:iCs/>
          <w:sz w:val="24"/>
          <w:szCs w:val="24"/>
          <w:lang w:val="en-GB"/>
        </w:rPr>
        <w:t>GT&amp;N-NO</w:t>
      </w:r>
      <w:r w:rsidRPr="007D2E18">
        <w:rPr>
          <w:rFonts w:ascii="Times New Roman" w:hAnsi="Times New Roman" w:cs="Times New Roman"/>
          <w:sz w:val="24"/>
          <w:szCs w:val="24"/>
          <w:lang w:val="en-GB"/>
        </w:rPr>
        <w:t xml:space="preserve"> causing both the oil price and its forecasts. Both relationships are unidirectional and supported by residuals</w:t>
      </w:r>
      <w:r w:rsidR="007220EE"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 xml:space="preserve"> non-autocorrelation, confirming that there are a broad range of events that affect oil prices, and not necessarily those OPEC-based only. The third panel establishes an independent, no-relationship between non-OPEC geopolitical tensions and news and oil price forecasts</w:t>
      </w:r>
      <w:r w:rsidR="007220EE"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 xml:space="preserve"> dispersion. The baseline results find that the first lag of </w:t>
      </w:r>
      <w:r w:rsidRPr="007D2E18">
        <w:rPr>
          <w:rFonts w:ascii="Times New Roman" w:hAnsi="Times New Roman" w:cs="Times New Roman"/>
          <w:i/>
          <w:iCs/>
          <w:sz w:val="24"/>
          <w:szCs w:val="24"/>
          <w:lang w:val="en-GB"/>
        </w:rPr>
        <w:t>GT&amp;N-NO</w:t>
      </w:r>
      <w:r w:rsidRPr="007D2E18">
        <w:rPr>
          <w:rFonts w:ascii="Times New Roman" w:hAnsi="Times New Roman" w:cs="Times New Roman"/>
          <w:sz w:val="24"/>
          <w:szCs w:val="24"/>
          <w:lang w:val="en-GB"/>
        </w:rPr>
        <w:t xml:space="preserve"> causes forecasts</w:t>
      </w:r>
      <w:r w:rsidR="007220EE"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 xml:space="preserve"> dispersion, which is now eroded, and the </w:t>
      </w:r>
      <w:r w:rsidRPr="007D2E18">
        <w:rPr>
          <w:rFonts w:ascii="Times New Roman" w:hAnsi="Times New Roman" w:cs="Times New Roman"/>
          <w:i/>
          <w:iCs/>
          <w:sz w:val="24"/>
          <w:szCs w:val="24"/>
          <w:lang w:val="en-GB"/>
        </w:rPr>
        <w:t>GT&amp;N-NO</w:t>
      </w:r>
      <w:r w:rsidRPr="007D2E18">
        <w:rPr>
          <w:rFonts w:ascii="Times New Roman" w:hAnsi="Times New Roman" w:cs="Times New Roman"/>
          <w:sz w:val="24"/>
          <w:szCs w:val="24"/>
          <w:lang w:val="en-GB"/>
        </w:rPr>
        <w:t xml:space="preserve"> role is relegated to affect level forecasts only. This discrepancy reflects the methodological difference between the estimators; thus, suggesting that a few observations (likely coinciding with those with more intensity) command the causality of </w:t>
      </w:r>
      <w:r w:rsidRPr="007D2E18">
        <w:rPr>
          <w:rFonts w:ascii="Times New Roman" w:hAnsi="Times New Roman" w:cs="Times New Roman"/>
          <w:i/>
          <w:iCs/>
          <w:sz w:val="24"/>
          <w:szCs w:val="24"/>
          <w:lang w:val="en-GB"/>
        </w:rPr>
        <w:t>GT&amp;N-NO</w:t>
      </w:r>
      <w:r w:rsidRPr="007D2E18">
        <w:rPr>
          <w:rFonts w:ascii="Times New Roman" w:hAnsi="Times New Roman" w:cs="Times New Roman"/>
          <w:sz w:val="24"/>
          <w:szCs w:val="24"/>
          <w:lang w:val="en-GB"/>
        </w:rPr>
        <w:t xml:space="preserve"> over the forecasts</w:t>
      </w:r>
      <w:r w:rsidR="007220EE"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 xml:space="preserve"> dispersion.</w:t>
      </w:r>
    </w:p>
    <w:p w14:paraId="73A073B8" w14:textId="77777777" w:rsidR="00FF45C7" w:rsidRPr="007D2E18" w:rsidRDefault="00FF45C7" w:rsidP="00FF45C7">
      <w:pPr>
        <w:spacing w:after="0" w:line="240" w:lineRule="auto"/>
        <w:jc w:val="both"/>
        <w:rPr>
          <w:rFonts w:ascii="Times New Roman" w:hAnsi="Times New Roman" w:cs="Times New Roman"/>
          <w:sz w:val="24"/>
          <w:szCs w:val="24"/>
          <w:lang w:val="en-GB"/>
        </w:rPr>
      </w:pPr>
    </w:p>
    <w:p w14:paraId="18AB9144" w14:textId="5AA0411B" w:rsidR="0085000C" w:rsidRPr="007D2E18" w:rsidRDefault="0085000C" w:rsidP="00FF45C7">
      <w:pPr>
        <w:spacing w:after="0" w:line="240" w:lineRule="auto"/>
        <w:jc w:val="both"/>
        <w:rPr>
          <w:rFonts w:ascii="Times New Roman" w:hAnsi="Times New Roman" w:cs="Times New Roman"/>
          <w:sz w:val="24"/>
          <w:szCs w:val="24"/>
          <w:lang w:val="en-GB"/>
        </w:rPr>
      </w:pPr>
      <w:r w:rsidRPr="007D2E18">
        <w:rPr>
          <w:rFonts w:ascii="Times New Roman" w:hAnsi="Times New Roman" w:cs="Times New Roman"/>
          <w:sz w:val="24"/>
          <w:szCs w:val="24"/>
          <w:lang w:val="en-GB"/>
        </w:rPr>
        <w:t xml:space="preserve">In sum, qualitative robustness results remain, but in some cases, the statistical inference comes out </w:t>
      </w:r>
      <w:r w:rsidR="00624E39"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weaker</w:t>
      </w:r>
      <w:r w:rsidR="00624E39"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 xml:space="preserve"> than the baseline estimations. By </w:t>
      </w:r>
      <w:r w:rsidR="00624E39"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weaker</w:t>
      </w:r>
      <w:r w:rsidR="00624E39" w:rsidRPr="007D2E18">
        <w:rPr>
          <w:rFonts w:ascii="Times New Roman" w:hAnsi="Times New Roman" w:cs="Times New Roman"/>
          <w:sz w:val="24"/>
          <w:szCs w:val="24"/>
          <w:lang w:val="en-GB"/>
        </w:rPr>
        <w:t>”</w:t>
      </w:r>
      <w:r w:rsidRPr="007D2E18">
        <w:rPr>
          <w:rFonts w:ascii="Times New Roman" w:hAnsi="Times New Roman" w:cs="Times New Roman"/>
          <w:sz w:val="24"/>
          <w:szCs w:val="24"/>
          <w:lang w:val="en-GB"/>
        </w:rPr>
        <w:t xml:space="preserve"> we mean finding fewer statistically significant cases when testing any proposed hypothesis, but still supporting the baseline conclusions.</w:t>
      </w:r>
    </w:p>
    <w:p w14:paraId="2376D176" w14:textId="77777777" w:rsidR="0085000C" w:rsidRPr="007D2E18" w:rsidRDefault="0085000C" w:rsidP="00A456AE">
      <w:pPr>
        <w:spacing w:after="0" w:line="240" w:lineRule="auto"/>
        <w:jc w:val="both"/>
        <w:rPr>
          <w:rFonts w:ascii="Times New Roman" w:hAnsi="Times New Roman" w:cs="Times New Roman"/>
          <w:sz w:val="24"/>
          <w:szCs w:val="24"/>
          <w:lang w:val="en-GB"/>
        </w:rPr>
      </w:pPr>
    </w:p>
    <w:p w14:paraId="3FC67EE8" w14:textId="23AD9085" w:rsidR="0085000C" w:rsidRPr="007D2E18" w:rsidRDefault="0085000C" w:rsidP="00FF45C7">
      <w:pPr>
        <w:spacing w:after="0" w:line="240" w:lineRule="auto"/>
        <w:jc w:val="center"/>
        <w:rPr>
          <w:rFonts w:ascii="Times New Roman" w:hAnsi="Times New Roman" w:cs="Times New Roman"/>
          <w:lang w:val="en-GB"/>
        </w:rPr>
      </w:pPr>
      <w:r w:rsidRPr="007D2E18">
        <w:rPr>
          <w:rFonts w:ascii="Times New Roman" w:hAnsi="Times New Roman" w:cs="Times New Roman"/>
          <w:lang w:val="en-GB"/>
        </w:rPr>
        <w:t>Table B2. Granger causality testing results: OPEC events (*)</w:t>
      </w:r>
    </w:p>
    <w:p w14:paraId="4A290B91" w14:textId="77777777" w:rsidR="00FF45C7" w:rsidRPr="007D2E18" w:rsidRDefault="00FF45C7" w:rsidP="00FF45C7">
      <w:pPr>
        <w:spacing w:after="0" w:line="240" w:lineRule="auto"/>
        <w:jc w:val="both"/>
        <w:rPr>
          <w:rFonts w:ascii="Times New Roman" w:hAnsi="Times New Roman" w:cs="Times New Roman"/>
          <w:lang w:val="en-GB"/>
        </w:rPr>
      </w:pPr>
      <w:r w:rsidRPr="007D2E18">
        <w:rPr>
          <w:rFonts w:ascii="Times New Roman" w:hAnsi="Times New Roman" w:cs="Times New Roman"/>
          <w:lang w:val="en-GB"/>
        </w:rPr>
        <w:t>(*) Fixed lags of the dependent variable (</w:t>
      </w:r>
      <m:oMath>
        <m:sSub>
          <m:sSubPr>
            <m:ctrlPr>
              <w:rPr>
                <w:rFonts w:ascii="Cambria Math" w:hAnsi="Cambria Math" w:cs="Times New Roman"/>
                <w:i/>
                <w:lang w:val="en-GB"/>
              </w:rPr>
            </m:ctrlPr>
          </m:sSubPr>
          <m:e>
            <m:r>
              <w:rPr>
                <w:rFonts w:ascii="Cambria Math" w:hAnsi="Cambria Math" w:cs="Times New Roman"/>
                <w:lang w:val="en-GB"/>
              </w:rPr>
              <m:t>p</m:t>
            </m:r>
          </m:e>
          <m:sub>
            <m:r>
              <w:rPr>
                <w:rFonts w:ascii="Cambria Math" w:hAnsi="Cambria Math" w:cs="Times New Roman"/>
                <w:lang w:val="en-GB"/>
              </w:rPr>
              <m:t>y</m:t>
            </m:r>
          </m:sub>
        </m:sSub>
      </m:oMath>
      <w:r w:rsidRPr="007D2E18">
        <w:rPr>
          <w:rFonts w:ascii="Times New Roman" w:hAnsi="Times New Roman" w:cs="Times New Roman"/>
          <w:lang w:val="en-GB"/>
        </w:rPr>
        <w:t xml:space="preserve">) in the baseline (inverse) regression: 3 (1). “F-stat.” corresponds to the core statistic of the F-test based on ordinary least square estimates with </w:t>
      </w:r>
      <m:oMath>
        <m:sSub>
          <m:sSubPr>
            <m:ctrlPr>
              <w:rPr>
                <w:rFonts w:ascii="Cambria Math" w:hAnsi="Cambria Math" w:cs="Times New Roman"/>
                <w:i/>
                <w:lang w:val="en-GB"/>
              </w:rPr>
            </m:ctrlPr>
          </m:sSubPr>
          <m:e>
            <m:r>
              <w:rPr>
                <w:rFonts w:ascii="Cambria Math" w:hAnsi="Cambria Math" w:cs="Times New Roman"/>
                <w:lang w:val="en-GB"/>
              </w:rPr>
              <m:t>p</m:t>
            </m:r>
          </m:e>
          <m:sub>
            <m:r>
              <w:rPr>
                <w:rFonts w:ascii="Cambria Math" w:hAnsi="Cambria Math" w:cs="Times New Roman"/>
                <w:lang w:val="en-GB"/>
              </w:rPr>
              <m:t>x</m:t>
            </m:r>
          </m:sub>
        </m:sSub>
      </m:oMath>
      <w:r w:rsidRPr="007D2E18">
        <w:rPr>
          <w:rFonts w:ascii="Times New Roman" w:hAnsi="Times New Roman" w:cs="Times New Roman"/>
          <w:lang w:val="en-GB"/>
        </w:rPr>
        <w:t xml:space="preserve"> lags, using the jackknife estimator for coefficients’ standard deviation. “</w:t>
      </w:r>
      <m:oMath>
        <m:r>
          <w:rPr>
            <w:rFonts w:ascii="Cambria Math" w:hAnsi="Cambria Math" w:cs="Times New Roman"/>
            <w:lang w:val="en-GB"/>
          </w:rPr>
          <m:t>p</m:t>
        </m:r>
      </m:oMath>
      <w:r w:rsidRPr="007D2E18">
        <w:rPr>
          <w:rFonts w:ascii="Times New Roman" w:hAnsi="Times New Roman" w:cs="Times New Roman"/>
          <w:lang w:val="en-GB"/>
        </w:rPr>
        <w:t xml:space="preserve">-value” corresponds to the </w:t>
      </w:r>
      <m:oMath>
        <m:r>
          <w:rPr>
            <w:rFonts w:ascii="Cambria Math" w:hAnsi="Cambria Math" w:cs="Times New Roman"/>
            <w:lang w:val="en-GB"/>
          </w:rPr>
          <m:t>p</m:t>
        </m:r>
      </m:oMath>
      <w:r w:rsidRPr="007D2E18">
        <w:rPr>
          <w:rFonts w:ascii="Times New Roman" w:hAnsi="Times New Roman" w:cs="Times New Roman"/>
          <w:lang w:val="en-GB"/>
        </w:rPr>
        <w:t xml:space="preserve">-value of the null hypothesis that </w:t>
      </w:r>
      <m:oMath>
        <m:sSub>
          <m:sSubPr>
            <m:ctrlPr>
              <w:rPr>
                <w:rFonts w:ascii="Cambria Math" w:hAnsi="Cambria Math" w:cs="Times New Roman"/>
                <w:i/>
                <w:lang w:val="en-GB"/>
              </w:rPr>
            </m:ctrlPr>
          </m:sSubPr>
          <m:e>
            <m:r>
              <w:rPr>
                <w:rFonts w:ascii="Cambria Math" w:hAnsi="Cambria Math" w:cs="Times New Roman"/>
                <w:lang w:val="en-GB"/>
              </w:rPr>
              <m:t>x</m:t>
            </m:r>
          </m:e>
          <m:sub>
            <m:r>
              <w:rPr>
                <w:rFonts w:ascii="Cambria Math" w:hAnsi="Cambria Math" w:cs="Times New Roman"/>
                <w:lang w:val="en-GB"/>
              </w:rPr>
              <m:t>t</m:t>
            </m:r>
          </m:sub>
        </m:sSub>
      </m:oMath>
      <w:r w:rsidRPr="007D2E18">
        <w:rPr>
          <w:rFonts w:ascii="Times New Roman" w:hAnsi="Times New Roman" w:cs="Times New Roman"/>
          <w:lang w:val="en-GB"/>
        </w:rPr>
        <w:t xml:space="preserve"> do not Granger cause </w:t>
      </w:r>
      <m:oMath>
        <m:sSub>
          <m:sSubPr>
            <m:ctrlPr>
              <w:rPr>
                <w:rFonts w:ascii="Cambria Math" w:hAnsi="Cambria Math" w:cs="Times New Roman"/>
                <w:i/>
                <w:lang w:val="en-GB"/>
              </w:rPr>
            </m:ctrlPr>
          </m:sSubPr>
          <m:e>
            <m:r>
              <w:rPr>
                <w:rFonts w:ascii="Cambria Math" w:hAnsi="Cambria Math" w:cs="Times New Roman"/>
                <w:lang w:val="en-GB"/>
              </w:rPr>
              <m:t>y</m:t>
            </m:r>
          </m:e>
          <m:sub>
            <m:r>
              <w:rPr>
                <w:rFonts w:ascii="Cambria Math" w:hAnsi="Cambria Math" w:cs="Times New Roman"/>
                <w:lang w:val="en-GB"/>
              </w:rPr>
              <m:t>t</m:t>
            </m:r>
          </m:sub>
        </m:sSub>
      </m:oMath>
      <w:r w:rsidRPr="007D2E18">
        <w:rPr>
          <w:rFonts w:ascii="Times New Roman" w:hAnsi="Times New Roman" w:cs="Times New Roman"/>
          <w:lang w:val="en-GB"/>
        </w:rPr>
        <w:t xml:space="preserve">. “R-sq. adj.” denotes the adjusted goodness-of-fit coefficient of the regression. “Infrc.” synthetizes Granger’s causality statistical inference. “BG” stands for the </w:t>
      </w:r>
      <m:oMath>
        <m:r>
          <w:rPr>
            <w:rFonts w:ascii="Cambria Math" w:hAnsi="Cambria Math" w:cs="Times New Roman"/>
            <w:lang w:val="en-GB"/>
          </w:rPr>
          <m:t>p</m:t>
        </m:r>
      </m:oMath>
      <w:r w:rsidRPr="007D2E18">
        <w:rPr>
          <w:rFonts w:ascii="Times New Roman" w:hAnsi="Times New Roman" w:cs="Times New Roman"/>
          <w:lang w:val="en-GB"/>
        </w:rPr>
        <w:t xml:space="preserve">-value of the Breusch-Godfrey test, whose null hypothesis is no serial correlation up to the sixth lag. Sample: 2001.1-2012.3 (135 observations). </w:t>
      </w:r>
      <m:oMath>
        <m:r>
          <w:rPr>
            <w:rFonts w:ascii="Cambria Math" w:hAnsi="Cambria Math" w:cs="Times New Roman"/>
            <w:lang w:val="en-GB"/>
          </w:rPr>
          <m:t>p</m:t>
        </m:r>
      </m:oMath>
      <w:r w:rsidRPr="007D2E18">
        <w:rPr>
          <w:rFonts w:ascii="Times New Roman" w:hAnsi="Times New Roman" w:cs="Times New Roman"/>
          <w:lang w:val="en-GB"/>
        </w:rPr>
        <w:t>-value: bold&lt;15%; italics&gt;15%. Source: Authors’ calculations.</w:t>
      </w:r>
    </w:p>
    <w:p w14:paraId="348C7505" w14:textId="77777777" w:rsidR="0085000C" w:rsidRPr="007D2E18" w:rsidRDefault="0085000C" w:rsidP="00A456AE">
      <w:pPr>
        <w:spacing w:after="0" w:line="240" w:lineRule="auto"/>
        <w:jc w:val="both"/>
        <w:rPr>
          <w:rFonts w:ascii="Times New Roman" w:hAnsi="Times New Roman" w:cs="Times New Roman"/>
          <w:sz w:val="24"/>
          <w:szCs w:val="24"/>
          <w:lang w:val="en-GB"/>
        </w:rPr>
      </w:pPr>
    </w:p>
    <w:p w14:paraId="120E0832" w14:textId="20C232B5" w:rsidR="0085000C" w:rsidRPr="007D2E18" w:rsidRDefault="0085000C" w:rsidP="00FF45C7">
      <w:pPr>
        <w:spacing w:after="0" w:line="240" w:lineRule="auto"/>
        <w:jc w:val="center"/>
        <w:rPr>
          <w:rFonts w:ascii="Times New Roman" w:hAnsi="Times New Roman" w:cs="Times New Roman"/>
          <w:lang w:val="en-GB"/>
        </w:rPr>
      </w:pPr>
      <w:r w:rsidRPr="007D2E18">
        <w:rPr>
          <w:rFonts w:ascii="Times New Roman" w:hAnsi="Times New Roman" w:cs="Times New Roman"/>
          <w:lang w:val="en-GB"/>
        </w:rPr>
        <w:t>Table B3. Granger causality testing results: non-OPEC events (*)</w:t>
      </w:r>
    </w:p>
    <w:p w14:paraId="65AFB511" w14:textId="77777777" w:rsidR="00FF45C7" w:rsidRPr="007D2E18" w:rsidRDefault="00FF45C7" w:rsidP="00FF45C7">
      <w:pPr>
        <w:spacing w:after="0" w:line="240" w:lineRule="auto"/>
        <w:jc w:val="both"/>
        <w:rPr>
          <w:rFonts w:ascii="Times New Roman" w:hAnsi="Times New Roman" w:cs="Times New Roman"/>
          <w:lang w:val="en-GB"/>
        </w:rPr>
      </w:pPr>
      <w:r w:rsidRPr="007D2E18">
        <w:rPr>
          <w:rFonts w:ascii="Times New Roman" w:hAnsi="Times New Roman" w:cs="Times New Roman"/>
          <w:lang w:val="en-GB"/>
        </w:rPr>
        <w:t>(*) Fixed lags of the dependent variable (</w:t>
      </w:r>
      <m:oMath>
        <m:sSub>
          <m:sSubPr>
            <m:ctrlPr>
              <w:rPr>
                <w:rFonts w:ascii="Cambria Math" w:hAnsi="Cambria Math" w:cs="Times New Roman"/>
                <w:i/>
                <w:lang w:val="en-GB"/>
              </w:rPr>
            </m:ctrlPr>
          </m:sSubPr>
          <m:e>
            <m:r>
              <w:rPr>
                <w:rFonts w:ascii="Cambria Math" w:hAnsi="Cambria Math" w:cs="Times New Roman"/>
                <w:lang w:val="en-GB"/>
              </w:rPr>
              <m:t>p</m:t>
            </m:r>
          </m:e>
          <m:sub>
            <m:r>
              <w:rPr>
                <w:rFonts w:ascii="Cambria Math" w:hAnsi="Cambria Math" w:cs="Times New Roman"/>
                <w:lang w:val="en-GB"/>
              </w:rPr>
              <m:t>y</m:t>
            </m:r>
          </m:sub>
        </m:sSub>
      </m:oMath>
      <w:r w:rsidRPr="007D2E18">
        <w:rPr>
          <w:rFonts w:ascii="Times New Roman" w:hAnsi="Times New Roman" w:cs="Times New Roman"/>
          <w:lang w:val="en-GB"/>
        </w:rPr>
        <w:t xml:space="preserve">) in the baseline (inverse) regression: 3 (1). “F-stat.” corresponds to the core statistic of the F-test based on ordinary least square estimates with </w:t>
      </w:r>
      <m:oMath>
        <m:sSub>
          <m:sSubPr>
            <m:ctrlPr>
              <w:rPr>
                <w:rFonts w:ascii="Cambria Math" w:hAnsi="Cambria Math" w:cs="Times New Roman"/>
                <w:i/>
                <w:lang w:val="en-GB"/>
              </w:rPr>
            </m:ctrlPr>
          </m:sSubPr>
          <m:e>
            <m:r>
              <w:rPr>
                <w:rFonts w:ascii="Cambria Math" w:hAnsi="Cambria Math" w:cs="Times New Roman"/>
                <w:lang w:val="en-GB"/>
              </w:rPr>
              <m:t>p</m:t>
            </m:r>
          </m:e>
          <m:sub>
            <m:r>
              <w:rPr>
                <w:rFonts w:ascii="Cambria Math" w:hAnsi="Cambria Math" w:cs="Times New Roman"/>
                <w:lang w:val="en-GB"/>
              </w:rPr>
              <m:t>x</m:t>
            </m:r>
          </m:sub>
        </m:sSub>
      </m:oMath>
      <w:r w:rsidRPr="007D2E18">
        <w:rPr>
          <w:rFonts w:ascii="Times New Roman" w:hAnsi="Times New Roman" w:cs="Times New Roman"/>
          <w:lang w:val="en-GB"/>
        </w:rPr>
        <w:t xml:space="preserve"> lags, using the jackknife estimator for coefficients’ standard deviation. “</w:t>
      </w:r>
      <m:oMath>
        <m:r>
          <w:rPr>
            <w:rFonts w:ascii="Cambria Math" w:hAnsi="Cambria Math" w:cs="Times New Roman"/>
            <w:lang w:val="en-GB"/>
          </w:rPr>
          <m:t>p</m:t>
        </m:r>
      </m:oMath>
      <w:r w:rsidRPr="007D2E18">
        <w:rPr>
          <w:rFonts w:ascii="Times New Roman" w:hAnsi="Times New Roman" w:cs="Times New Roman"/>
          <w:lang w:val="en-GB"/>
        </w:rPr>
        <w:t xml:space="preserve">-value” corresponds to the </w:t>
      </w:r>
      <m:oMath>
        <m:r>
          <w:rPr>
            <w:rFonts w:ascii="Cambria Math" w:hAnsi="Cambria Math" w:cs="Times New Roman"/>
            <w:lang w:val="en-GB"/>
          </w:rPr>
          <m:t>p</m:t>
        </m:r>
      </m:oMath>
      <w:r w:rsidRPr="007D2E18">
        <w:rPr>
          <w:rFonts w:ascii="Times New Roman" w:hAnsi="Times New Roman" w:cs="Times New Roman"/>
          <w:lang w:val="en-GB"/>
        </w:rPr>
        <w:t xml:space="preserve">-value of the null hypothesis that </w:t>
      </w:r>
      <m:oMath>
        <m:sSub>
          <m:sSubPr>
            <m:ctrlPr>
              <w:rPr>
                <w:rFonts w:ascii="Cambria Math" w:hAnsi="Cambria Math" w:cs="Times New Roman"/>
                <w:i/>
                <w:lang w:val="en-GB"/>
              </w:rPr>
            </m:ctrlPr>
          </m:sSubPr>
          <m:e>
            <m:r>
              <w:rPr>
                <w:rFonts w:ascii="Cambria Math" w:hAnsi="Cambria Math" w:cs="Times New Roman"/>
                <w:lang w:val="en-GB"/>
              </w:rPr>
              <m:t>x</m:t>
            </m:r>
          </m:e>
          <m:sub>
            <m:r>
              <w:rPr>
                <w:rFonts w:ascii="Cambria Math" w:hAnsi="Cambria Math" w:cs="Times New Roman"/>
                <w:lang w:val="en-GB"/>
              </w:rPr>
              <m:t>t</m:t>
            </m:r>
          </m:sub>
        </m:sSub>
      </m:oMath>
      <w:r w:rsidRPr="007D2E18">
        <w:rPr>
          <w:rFonts w:ascii="Times New Roman" w:hAnsi="Times New Roman" w:cs="Times New Roman"/>
          <w:lang w:val="en-GB"/>
        </w:rPr>
        <w:t xml:space="preserve"> do not Granger cause </w:t>
      </w:r>
      <m:oMath>
        <m:sSub>
          <m:sSubPr>
            <m:ctrlPr>
              <w:rPr>
                <w:rFonts w:ascii="Cambria Math" w:hAnsi="Cambria Math" w:cs="Times New Roman"/>
                <w:i/>
                <w:lang w:val="en-GB"/>
              </w:rPr>
            </m:ctrlPr>
          </m:sSubPr>
          <m:e>
            <m:r>
              <w:rPr>
                <w:rFonts w:ascii="Cambria Math" w:hAnsi="Cambria Math" w:cs="Times New Roman"/>
                <w:lang w:val="en-GB"/>
              </w:rPr>
              <m:t>y</m:t>
            </m:r>
          </m:e>
          <m:sub>
            <m:r>
              <w:rPr>
                <w:rFonts w:ascii="Cambria Math" w:hAnsi="Cambria Math" w:cs="Times New Roman"/>
                <w:lang w:val="en-GB"/>
              </w:rPr>
              <m:t>t</m:t>
            </m:r>
          </m:sub>
        </m:sSub>
      </m:oMath>
      <w:r w:rsidRPr="007D2E18">
        <w:rPr>
          <w:rFonts w:ascii="Times New Roman" w:hAnsi="Times New Roman" w:cs="Times New Roman"/>
          <w:lang w:val="en-GB"/>
        </w:rPr>
        <w:t xml:space="preserve">. “R-sq. adj.” denotes the adjusted goodness-of-fit coefficient of the regression. “Infrc.” synthetizes Granger’s causality statistical inference. “BG” stands for the </w:t>
      </w:r>
      <m:oMath>
        <m:r>
          <w:rPr>
            <w:rFonts w:ascii="Cambria Math" w:hAnsi="Cambria Math" w:cs="Times New Roman"/>
            <w:lang w:val="en-GB"/>
          </w:rPr>
          <m:t>p</m:t>
        </m:r>
      </m:oMath>
      <w:r w:rsidRPr="007D2E18">
        <w:rPr>
          <w:rFonts w:ascii="Times New Roman" w:hAnsi="Times New Roman" w:cs="Times New Roman"/>
          <w:lang w:val="en-GB"/>
        </w:rPr>
        <w:t xml:space="preserve">-value of the Breusch-Godfrey test, whose null hypothesis is no serial correlation up to the sixth lag. Sample: 2001.1-2012.3 (135 observations). </w:t>
      </w:r>
      <m:oMath>
        <m:r>
          <w:rPr>
            <w:rFonts w:ascii="Cambria Math" w:hAnsi="Cambria Math" w:cs="Times New Roman"/>
            <w:lang w:val="en-GB"/>
          </w:rPr>
          <m:t>p</m:t>
        </m:r>
      </m:oMath>
      <w:r w:rsidRPr="007D2E18">
        <w:rPr>
          <w:rFonts w:ascii="Times New Roman" w:hAnsi="Times New Roman" w:cs="Times New Roman"/>
          <w:lang w:val="en-GB"/>
        </w:rPr>
        <w:t>-value: bold&lt;15%; italics&gt;15%. Source: Authors’ calculations.</w:t>
      </w:r>
    </w:p>
    <w:p w14:paraId="1D164B52" w14:textId="678147E3" w:rsidR="0085000C" w:rsidRPr="007D2E18" w:rsidRDefault="0085000C" w:rsidP="00FF45C7">
      <w:pPr>
        <w:spacing w:after="0" w:line="240" w:lineRule="auto"/>
        <w:jc w:val="both"/>
        <w:rPr>
          <w:rFonts w:ascii="Times New Roman" w:hAnsi="Times New Roman" w:cs="Times New Roman"/>
          <w:sz w:val="24"/>
          <w:szCs w:val="24"/>
          <w:lang w:val="en-GB"/>
        </w:rPr>
      </w:pPr>
    </w:p>
    <w:sectPr w:rsidR="0085000C" w:rsidRPr="007D2E18" w:rsidSect="00435A95">
      <w:footerReference w:type="default" r:id="rId8"/>
      <w:pgSz w:w="12240" w:h="15840"/>
      <w:pgMar w:top="1440" w:right="1080" w:bottom="144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8BD3FF" w14:textId="77777777" w:rsidR="00A1720D" w:rsidRDefault="00A1720D" w:rsidP="00A456AE">
      <w:pPr>
        <w:spacing w:after="0" w:line="240" w:lineRule="auto"/>
      </w:pPr>
      <w:r>
        <w:separator/>
      </w:r>
    </w:p>
  </w:endnote>
  <w:endnote w:type="continuationSeparator" w:id="0">
    <w:p w14:paraId="775B7E6F" w14:textId="77777777" w:rsidR="00A1720D" w:rsidRDefault="00A1720D" w:rsidP="00A45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0117652"/>
      <w:docPartObj>
        <w:docPartGallery w:val="Page Numbers (Bottom of Page)"/>
        <w:docPartUnique/>
      </w:docPartObj>
    </w:sdtPr>
    <w:sdtEndPr>
      <w:rPr>
        <w:rFonts w:ascii="Times New Roman" w:hAnsi="Times New Roman" w:cs="Times New Roman"/>
        <w:sz w:val="20"/>
        <w:szCs w:val="20"/>
      </w:rPr>
    </w:sdtEndPr>
    <w:sdtContent>
      <w:p w14:paraId="79E9D6D6" w14:textId="2FFDF0A0" w:rsidR="000C0297" w:rsidRPr="002D0699" w:rsidRDefault="000C0297">
        <w:pPr>
          <w:pStyle w:val="Piedepgina"/>
          <w:jc w:val="center"/>
          <w:rPr>
            <w:rFonts w:ascii="Times New Roman" w:hAnsi="Times New Roman" w:cs="Times New Roman"/>
            <w:sz w:val="20"/>
            <w:szCs w:val="20"/>
          </w:rPr>
        </w:pPr>
        <w:r w:rsidRPr="002D0699">
          <w:rPr>
            <w:rFonts w:ascii="Times New Roman" w:hAnsi="Times New Roman" w:cs="Times New Roman"/>
            <w:sz w:val="20"/>
            <w:szCs w:val="20"/>
          </w:rPr>
          <w:fldChar w:fldCharType="begin"/>
        </w:r>
        <w:r w:rsidRPr="002D0699">
          <w:rPr>
            <w:rFonts w:ascii="Times New Roman" w:hAnsi="Times New Roman" w:cs="Times New Roman"/>
            <w:sz w:val="20"/>
            <w:szCs w:val="20"/>
          </w:rPr>
          <w:instrText>PAGE   \* MERGEFORMAT</w:instrText>
        </w:r>
        <w:r w:rsidRPr="002D0699">
          <w:rPr>
            <w:rFonts w:ascii="Times New Roman" w:hAnsi="Times New Roman" w:cs="Times New Roman"/>
            <w:sz w:val="20"/>
            <w:szCs w:val="20"/>
          </w:rPr>
          <w:fldChar w:fldCharType="separate"/>
        </w:r>
        <w:r w:rsidRPr="002D0699">
          <w:rPr>
            <w:rFonts w:ascii="Times New Roman" w:hAnsi="Times New Roman" w:cs="Times New Roman"/>
            <w:sz w:val="20"/>
            <w:szCs w:val="20"/>
            <w:lang w:val="es-ES"/>
          </w:rPr>
          <w:t>2</w:t>
        </w:r>
        <w:r w:rsidRPr="002D0699">
          <w:rPr>
            <w:rFonts w:ascii="Times New Roman" w:hAnsi="Times New Roman" w:cs="Times New Roman"/>
            <w:sz w:val="20"/>
            <w:szCs w:val="20"/>
          </w:rPr>
          <w:fldChar w:fldCharType="end"/>
        </w:r>
      </w:p>
    </w:sdtContent>
  </w:sdt>
  <w:p w14:paraId="635148A8" w14:textId="77777777" w:rsidR="000C0297" w:rsidRDefault="000C029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75F14" w14:textId="77777777" w:rsidR="00A1720D" w:rsidRDefault="00A1720D" w:rsidP="00A456AE">
      <w:pPr>
        <w:spacing w:after="0" w:line="240" w:lineRule="auto"/>
      </w:pPr>
      <w:r>
        <w:separator/>
      </w:r>
    </w:p>
  </w:footnote>
  <w:footnote w:type="continuationSeparator" w:id="0">
    <w:p w14:paraId="71F2A5AC" w14:textId="77777777" w:rsidR="00A1720D" w:rsidRDefault="00A1720D" w:rsidP="00A456AE">
      <w:pPr>
        <w:spacing w:after="0" w:line="240" w:lineRule="auto"/>
      </w:pPr>
      <w:r>
        <w:continuationSeparator/>
      </w:r>
    </w:p>
  </w:footnote>
  <w:footnote w:id="1">
    <w:p w14:paraId="71CA7119" w14:textId="00EEC6CC" w:rsidR="000C0297" w:rsidRPr="00A456AE" w:rsidRDefault="000C0297" w:rsidP="00A456AE">
      <w:pPr>
        <w:pStyle w:val="Textonotapie"/>
        <w:jc w:val="both"/>
        <w:rPr>
          <w:rFonts w:ascii="Times New Roman" w:hAnsi="Times New Roman" w:cs="Times New Roman"/>
          <w:sz w:val="22"/>
          <w:szCs w:val="22"/>
          <w:lang w:val="es-CL"/>
        </w:rPr>
      </w:pPr>
      <w:r w:rsidRPr="00A456AE">
        <w:rPr>
          <w:rStyle w:val="Refdenotaalpie"/>
          <w:rFonts w:ascii="Times New Roman" w:hAnsi="Times New Roman" w:cs="Times New Roman"/>
          <w:sz w:val="22"/>
          <w:szCs w:val="22"/>
        </w:rPr>
        <w:sym w:font="Symbol" w:char="F02A"/>
      </w:r>
      <w:r w:rsidRPr="00A456AE">
        <w:rPr>
          <w:rFonts w:ascii="Times New Roman" w:hAnsi="Times New Roman" w:cs="Times New Roman"/>
          <w:sz w:val="22"/>
          <w:szCs w:val="22"/>
        </w:rPr>
        <w:t xml:space="preserve"> We thank Ercio Muñoz for his kind provision of the dataset used in López and Muñoz (2012). We also thank comments and suggestions to Rolando Campusano, Gabriela Contreras, Ashita Gaglani, Pablo Medel, Ercio Muñoz, Damián Romero, an anonymous referee of the Working Paper series of the Central Bank of Chile, and an anonymous referee of the </w:t>
      </w:r>
      <w:r w:rsidRPr="00CC6F9C">
        <w:rPr>
          <w:rFonts w:ascii="Times New Roman" w:hAnsi="Times New Roman" w:cs="Times New Roman"/>
          <w:i/>
          <w:iCs/>
          <w:sz w:val="22"/>
          <w:szCs w:val="22"/>
        </w:rPr>
        <w:t>Economic Analysis Review</w:t>
      </w:r>
      <w:r w:rsidRPr="00A456AE">
        <w:rPr>
          <w:rFonts w:ascii="Times New Roman" w:hAnsi="Times New Roman" w:cs="Times New Roman"/>
          <w:sz w:val="22"/>
          <w:szCs w:val="22"/>
        </w:rPr>
        <w:t>. We also thank Consuelo Edwards for editing services. Nevertheless, we exclude them for any error or omission that remains at our own responsibility. This article is an extensive revision of the Working Paper 805, Central Bank of Chile. The views and ideas expressed in this paper do not necessarily represent those of the Central Bank of Chile or its authorities. Any errors or omissions are the responsibility of the authors.</w:t>
      </w:r>
    </w:p>
  </w:footnote>
  <w:footnote w:id="2">
    <w:p w14:paraId="66F41308" w14:textId="30DB21E4" w:rsidR="000C0297" w:rsidRPr="00A456AE" w:rsidRDefault="000C0297">
      <w:pPr>
        <w:pStyle w:val="Textonotapie"/>
        <w:rPr>
          <w:rFonts w:ascii="Times New Roman" w:hAnsi="Times New Roman" w:cs="Times New Roman"/>
          <w:sz w:val="22"/>
          <w:szCs w:val="22"/>
          <w:lang w:val="es-CL"/>
        </w:rPr>
      </w:pPr>
      <w:r w:rsidRPr="00A456AE">
        <w:rPr>
          <w:rStyle w:val="Refdenotaalpie"/>
          <w:rFonts w:ascii="Times New Roman" w:hAnsi="Times New Roman" w:cs="Times New Roman"/>
          <w:sz w:val="22"/>
          <w:szCs w:val="22"/>
        </w:rPr>
        <w:sym w:font="Symbol" w:char="F02A"/>
      </w:r>
      <w:r w:rsidRPr="00A456AE">
        <w:rPr>
          <w:rStyle w:val="Refdenotaalpie"/>
          <w:rFonts w:ascii="Times New Roman" w:hAnsi="Times New Roman" w:cs="Times New Roman"/>
          <w:sz w:val="22"/>
          <w:szCs w:val="22"/>
        </w:rPr>
        <w:sym w:font="Symbol" w:char="F02A"/>
      </w:r>
      <w:r w:rsidRPr="00A456AE">
        <w:rPr>
          <w:rFonts w:ascii="Times New Roman" w:hAnsi="Times New Roman" w:cs="Times New Roman"/>
          <w:sz w:val="22"/>
          <w:szCs w:val="22"/>
        </w:rPr>
        <w:t xml:space="preserve"> E-mail: afernandois@bcentral.cl.</w:t>
      </w:r>
    </w:p>
  </w:footnote>
  <w:footnote w:id="3">
    <w:p w14:paraId="13E520A4" w14:textId="329C255E" w:rsidR="000C0297" w:rsidRPr="00A456AE" w:rsidRDefault="000C0297">
      <w:pPr>
        <w:pStyle w:val="Textonotapie"/>
        <w:rPr>
          <w:rFonts w:ascii="Times New Roman" w:hAnsi="Times New Roman" w:cs="Times New Roman"/>
          <w:sz w:val="22"/>
          <w:szCs w:val="22"/>
          <w:lang w:val="es-CL"/>
        </w:rPr>
      </w:pPr>
      <w:r w:rsidRPr="00A456AE">
        <w:rPr>
          <w:rStyle w:val="Refdenotaalpie"/>
          <w:rFonts w:ascii="Times New Roman" w:hAnsi="Times New Roman" w:cs="Times New Roman"/>
          <w:sz w:val="22"/>
          <w:szCs w:val="22"/>
        </w:rPr>
        <w:t>***</w:t>
      </w:r>
      <w:r w:rsidRPr="00A456AE">
        <w:rPr>
          <w:rFonts w:ascii="Times New Roman" w:hAnsi="Times New Roman" w:cs="Times New Roman"/>
          <w:sz w:val="22"/>
          <w:szCs w:val="22"/>
        </w:rPr>
        <w:t xml:space="preserve"> Corresponding author. E-mail: cmedel@bcentral.cl.</w:t>
      </w:r>
    </w:p>
  </w:footnote>
  <w:footnote w:id="4">
    <w:p w14:paraId="27DF0458" w14:textId="4DFC4E38" w:rsidR="000C0297" w:rsidRPr="008D7395" w:rsidRDefault="000C0297" w:rsidP="00CC6F9C">
      <w:pPr>
        <w:pStyle w:val="Textonotapie"/>
        <w:jc w:val="both"/>
        <w:rPr>
          <w:rFonts w:ascii="Times New Roman" w:hAnsi="Times New Roman" w:cs="Times New Roman"/>
          <w:sz w:val="22"/>
          <w:szCs w:val="22"/>
          <w:lang w:val="es-CL"/>
        </w:rPr>
      </w:pPr>
      <w:r w:rsidRPr="008D7395">
        <w:rPr>
          <w:rStyle w:val="Refdenotaalpie"/>
          <w:rFonts w:ascii="Times New Roman" w:hAnsi="Times New Roman" w:cs="Times New Roman"/>
          <w:sz w:val="22"/>
          <w:szCs w:val="22"/>
        </w:rPr>
        <w:footnoteRef/>
      </w:r>
      <w:r w:rsidRPr="008D7395">
        <w:rPr>
          <w:rFonts w:ascii="Times New Roman" w:hAnsi="Times New Roman" w:cs="Times New Roman"/>
          <w:sz w:val="22"/>
          <w:szCs w:val="22"/>
        </w:rPr>
        <w:t xml:space="preserve"> Algeria, Angola, Congo, Ecuador, Equatorial Guinea, Gabon, Iran, Iraq, Kuwait, Libya, Nigeria, Saudi Arabia, United Arab Emirates, and Venezuela.</w:t>
      </w:r>
    </w:p>
  </w:footnote>
  <w:footnote w:id="5">
    <w:p w14:paraId="5033A333" w14:textId="597FEE48" w:rsidR="000C0297" w:rsidRPr="008D7395" w:rsidRDefault="000C0297" w:rsidP="00435A95">
      <w:pPr>
        <w:pStyle w:val="Textonotapie"/>
        <w:jc w:val="both"/>
        <w:rPr>
          <w:rFonts w:ascii="Times New Roman" w:hAnsi="Times New Roman" w:cs="Times New Roman"/>
          <w:sz w:val="22"/>
          <w:szCs w:val="22"/>
          <w:lang w:val="es-CL"/>
        </w:rPr>
      </w:pPr>
      <w:r w:rsidRPr="008D7395">
        <w:rPr>
          <w:rStyle w:val="Refdenotaalpie"/>
          <w:rFonts w:ascii="Times New Roman" w:hAnsi="Times New Roman" w:cs="Times New Roman"/>
          <w:sz w:val="22"/>
          <w:szCs w:val="22"/>
        </w:rPr>
        <w:footnoteRef/>
      </w:r>
      <w:r w:rsidRPr="008D7395">
        <w:rPr>
          <w:rFonts w:ascii="Times New Roman" w:hAnsi="Times New Roman" w:cs="Times New Roman"/>
          <w:sz w:val="22"/>
          <w:szCs w:val="22"/>
        </w:rPr>
        <w:t xml:space="preserve"> Although the meaning of “Granger causality” is different to ordinary “causality”, we henceforth use the latter interchangeably with the former term.</w:t>
      </w:r>
    </w:p>
  </w:footnote>
  <w:footnote w:id="6">
    <w:p w14:paraId="0709F554" w14:textId="120BB435" w:rsidR="000C0297" w:rsidRPr="008D7395" w:rsidRDefault="000C0297" w:rsidP="000300ED">
      <w:pPr>
        <w:pStyle w:val="Textonotapie"/>
        <w:jc w:val="both"/>
        <w:rPr>
          <w:rFonts w:ascii="Times New Roman" w:hAnsi="Times New Roman" w:cs="Times New Roman"/>
          <w:sz w:val="22"/>
          <w:szCs w:val="22"/>
          <w:lang w:val="en-GB"/>
        </w:rPr>
      </w:pPr>
      <w:r w:rsidRPr="008D7395">
        <w:rPr>
          <w:rStyle w:val="Refdenotaalpie"/>
          <w:rFonts w:ascii="Times New Roman" w:hAnsi="Times New Roman" w:cs="Times New Roman"/>
          <w:sz w:val="22"/>
          <w:szCs w:val="22"/>
          <w:lang w:val="en-GB"/>
        </w:rPr>
        <w:footnoteRef/>
      </w:r>
      <w:r w:rsidRPr="008D7395">
        <w:rPr>
          <w:rFonts w:ascii="Times New Roman" w:hAnsi="Times New Roman" w:cs="Times New Roman"/>
          <w:sz w:val="22"/>
          <w:szCs w:val="22"/>
          <w:lang w:val="en-GB"/>
        </w:rPr>
        <w:t xml:space="preserve"> Both articles, using a very similar time span (1982-3 to 2008) analyse the effect of OPEC’s influence on prices, finding an influence on abnormal returns in crude oil spot and futures markets.</w:t>
      </w:r>
    </w:p>
  </w:footnote>
  <w:footnote w:id="7">
    <w:p w14:paraId="6DE2784B" w14:textId="67725D5D" w:rsidR="000C0297" w:rsidRPr="008D7395" w:rsidRDefault="000C0297" w:rsidP="000300ED">
      <w:pPr>
        <w:pStyle w:val="Textonotapie"/>
        <w:jc w:val="both"/>
        <w:rPr>
          <w:rFonts w:ascii="Times New Roman" w:hAnsi="Times New Roman" w:cs="Times New Roman"/>
          <w:sz w:val="22"/>
          <w:szCs w:val="22"/>
          <w:lang w:val="en-GB"/>
        </w:rPr>
      </w:pPr>
      <w:r w:rsidRPr="008D7395">
        <w:rPr>
          <w:rStyle w:val="Refdenotaalpie"/>
          <w:rFonts w:ascii="Times New Roman" w:hAnsi="Times New Roman" w:cs="Times New Roman"/>
          <w:sz w:val="22"/>
          <w:szCs w:val="22"/>
          <w:lang w:val="en-GB"/>
        </w:rPr>
        <w:footnoteRef/>
      </w:r>
      <w:r w:rsidRPr="008D7395">
        <w:rPr>
          <w:rFonts w:ascii="Times New Roman" w:hAnsi="Times New Roman" w:cs="Times New Roman"/>
          <w:sz w:val="22"/>
          <w:szCs w:val="22"/>
          <w:lang w:val="en-GB"/>
        </w:rPr>
        <w:t xml:space="preserve"> Recently, Burggraf et al. (2019) analysed the effect of </w:t>
      </w:r>
      <w:r w:rsidRPr="008D7395">
        <w:rPr>
          <w:rFonts w:ascii="Times New Roman" w:hAnsi="Times New Roman" w:cs="Times New Roman"/>
          <w:i/>
          <w:iCs/>
          <w:sz w:val="22"/>
          <w:szCs w:val="22"/>
          <w:lang w:val="en-GB"/>
        </w:rPr>
        <w:t>Twitter</w:t>
      </w:r>
      <w:r w:rsidRPr="008D7395">
        <w:rPr>
          <w:rFonts w:ascii="Times New Roman" w:hAnsi="Times New Roman" w:cs="Times New Roman"/>
          <w:sz w:val="22"/>
          <w:szCs w:val="22"/>
          <w:lang w:val="en-GB"/>
        </w:rPr>
        <w:t xml:space="preserve"> messages of the President of the United States on stock prices and VIX for the sample covering September 2018 to May 2019—a total of 224 tweets. By means of Granger causality, the authors provide evidence of the one-way causality of the President’s tweets affecting negatively stock returns and positively the VIX indicator.</w:t>
      </w:r>
    </w:p>
  </w:footnote>
  <w:footnote w:id="8">
    <w:p w14:paraId="7CF715E1" w14:textId="58665D39" w:rsidR="000C0297" w:rsidRPr="00F01282" w:rsidRDefault="000C0297" w:rsidP="00F01282">
      <w:pPr>
        <w:pStyle w:val="Textonotapie"/>
        <w:jc w:val="both"/>
        <w:rPr>
          <w:rFonts w:ascii="Times New Roman" w:hAnsi="Times New Roman" w:cs="Times New Roman"/>
          <w:lang w:val="en-GB"/>
        </w:rPr>
      </w:pPr>
      <w:r w:rsidRPr="00F01282">
        <w:rPr>
          <w:rStyle w:val="Refdenotaalpie"/>
          <w:rFonts w:ascii="Times New Roman" w:hAnsi="Times New Roman" w:cs="Times New Roman"/>
          <w:lang w:val="en-GB"/>
        </w:rPr>
        <w:footnoteRef/>
      </w:r>
      <w:r w:rsidRPr="00F01282">
        <w:rPr>
          <w:rFonts w:ascii="Times New Roman" w:hAnsi="Times New Roman" w:cs="Times New Roman"/>
          <w:lang w:val="en-GB"/>
        </w:rPr>
        <w:t xml:space="preserve"> The OPEC’s behaviour analysed plainly as a cartel is also a long-standing issue in the literature. See, for instance, Adelman (1982), Aperjis (1982), Teece (1982), Dahl and Yücel (1989), Gülen (1996), Alhajji and Huettner (2000), Adelman (2002), and Fattouh (2007) among others. As above mentioned, the results are episodic and dependant on several assumptions previously made regarding OPEC</w:t>
      </w:r>
      <w:r>
        <w:rPr>
          <w:rFonts w:ascii="Times New Roman" w:hAnsi="Times New Roman" w:cs="Times New Roman"/>
          <w:lang w:val="en-GB"/>
        </w:rPr>
        <w:t>’</w:t>
      </w:r>
      <w:r w:rsidRPr="00F01282">
        <w:rPr>
          <w:rFonts w:ascii="Times New Roman" w:hAnsi="Times New Roman" w:cs="Times New Roman"/>
          <w:lang w:val="en-GB"/>
        </w:rPr>
        <w:t>s held power.</w:t>
      </w:r>
    </w:p>
  </w:footnote>
  <w:footnote w:id="9">
    <w:p w14:paraId="494C3417" w14:textId="6639DB8B" w:rsidR="000C0297" w:rsidRPr="00643DB5" w:rsidRDefault="000C0297" w:rsidP="00643DB5">
      <w:pPr>
        <w:pStyle w:val="Textonotapie"/>
        <w:jc w:val="both"/>
        <w:rPr>
          <w:rFonts w:ascii="Times New Roman" w:hAnsi="Times New Roman" w:cs="Times New Roman"/>
          <w:lang w:val="es-CL"/>
        </w:rPr>
      </w:pPr>
      <w:r w:rsidRPr="00643DB5">
        <w:rPr>
          <w:rStyle w:val="Refdenotaalpie"/>
          <w:rFonts w:ascii="Times New Roman" w:hAnsi="Times New Roman" w:cs="Times New Roman"/>
        </w:rPr>
        <w:footnoteRef/>
      </w:r>
      <w:r w:rsidRPr="00643DB5">
        <w:rPr>
          <w:rFonts w:ascii="Times New Roman" w:hAnsi="Times New Roman" w:cs="Times New Roman"/>
        </w:rPr>
        <w:t xml:space="preserve"> Notice that Bowles et al. (2007) and Atallah et al. (2013) proposed a similar methodology when measuring disagreement among the European Central Bank</w:t>
      </w:r>
      <w:r>
        <w:rPr>
          <w:rFonts w:ascii="Times New Roman" w:hAnsi="Times New Roman" w:cs="Times New Roman"/>
        </w:rPr>
        <w:t>’</w:t>
      </w:r>
      <w:r w:rsidRPr="00643DB5">
        <w:rPr>
          <w:rFonts w:ascii="Times New Roman" w:hAnsi="Times New Roman" w:cs="Times New Roman"/>
        </w:rPr>
        <w:t>s surveys</w:t>
      </w:r>
      <w:r>
        <w:rPr>
          <w:rFonts w:ascii="Times New Roman" w:hAnsi="Times New Roman" w:cs="Times New Roman"/>
        </w:rPr>
        <w:t>’</w:t>
      </w:r>
      <w:r w:rsidRPr="00643DB5">
        <w:rPr>
          <w:rFonts w:ascii="Times New Roman" w:hAnsi="Times New Roman" w:cs="Times New Roman"/>
        </w:rPr>
        <w:t xml:space="preserve"> respondents.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8089D"/>
    <w:multiLevelType w:val="hybridMultilevel"/>
    <w:tmpl w:val="523C1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B42357"/>
    <w:multiLevelType w:val="hybridMultilevel"/>
    <w:tmpl w:val="E25EE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A8422D"/>
    <w:multiLevelType w:val="hybridMultilevel"/>
    <w:tmpl w:val="E0FE0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7A2"/>
    <w:rsid w:val="00003E44"/>
    <w:rsid w:val="000300ED"/>
    <w:rsid w:val="00033AA9"/>
    <w:rsid w:val="00072F6B"/>
    <w:rsid w:val="000B2C0B"/>
    <w:rsid w:val="000C0297"/>
    <w:rsid w:val="00231760"/>
    <w:rsid w:val="00234EC8"/>
    <w:rsid w:val="00241B59"/>
    <w:rsid w:val="00285464"/>
    <w:rsid w:val="002D0699"/>
    <w:rsid w:val="002D0B56"/>
    <w:rsid w:val="00394FA1"/>
    <w:rsid w:val="00435A95"/>
    <w:rsid w:val="0044144F"/>
    <w:rsid w:val="0046083F"/>
    <w:rsid w:val="004E2072"/>
    <w:rsid w:val="00536B3A"/>
    <w:rsid w:val="00611D66"/>
    <w:rsid w:val="00617E69"/>
    <w:rsid w:val="00624E39"/>
    <w:rsid w:val="00643DB5"/>
    <w:rsid w:val="00644DAD"/>
    <w:rsid w:val="00684255"/>
    <w:rsid w:val="007220EE"/>
    <w:rsid w:val="00743566"/>
    <w:rsid w:val="007A5589"/>
    <w:rsid w:val="007D2E18"/>
    <w:rsid w:val="00841D16"/>
    <w:rsid w:val="0085000C"/>
    <w:rsid w:val="00886189"/>
    <w:rsid w:val="008D7395"/>
    <w:rsid w:val="008F4D10"/>
    <w:rsid w:val="009B516A"/>
    <w:rsid w:val="009C30CA"/>
    <w:rsid w:val="009E7487"/>
    <w:rsid w:val="00A1720D"/>
    <w:rsid w:val="00A34A05"/>
    <w:rsid w:val="00A456AE"/>
    <w:rsid w:val="00A82EF1"/>
    <w:rsid w:val="00AB1A63"/>
    <w:rsid w:val="00AB6496"/>
    <w:rsid w:val="00AE4A8B"/>
    <w:rsid w:val="00AF71F7"/>
    <w:rsid w:val="00BC77A2"/>
    <w:rsid w:val="00C27546"/>
    <w:rsid w:val="00CA489B"/>
    <w:rsid w:val="00CC6F9C"/>
    <w:rsid w:val="00CE6C72"/>
    <w:rsid w:val="00DC6EB4"/>
    <w:rsid w:val="00E34CC2"/>
    <w:rsid w:val="00F01282"/>
    <w:rsid w:val="00F03178"/>
    <w:rsid w:val="00FA0B48"/>
    <w:rsid w:val="00FF1C71"/>
    <w:rsid w:val="00FF4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AF455"/>
  <w15:chartTrackingRefBased/>
  <w15:docId w15:val="{82648A32-EC94-4D52-88EB-A99C4E2F6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A456A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456AE"/>
    <w:rPr>
      <w:sz w:val="20"/>
      <w:szCs w:val="20"/>
    </w:rPr>
  </w:style>
  <w:style w:type="character" w:styleId="Refdenotaalpie">
    <w:name w:val="footnote reference"/>
    <w:basedOn w:val="Fuentedeprrafopredeter"/>
    <w:uiPriority w:val="99"/>
    <w:semiHidden/>
    <w:unhideWhenUsed/>
    <w:rsid w:val="00A456AE"/>
    <w:rPr>
      <w:vertAlign w:val="superscript"/>
    </w:rPr>
  </w:style>
  <w:style w:type="paragraph" w:styleId="Encabezado">
    <w:name w:val="header"/>
    <w:basedOn w:val="Normal"/>
    <w:link w:val="EncabezadoCar"/>
    <w:uiPriority w:val="99"/>
    <w:unhideWhenUsed/>
    <w:rsid w:val="00A456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456AE"/>
  </w:style>
  <w:style w:type="paragraph" w:styleId="Piedepgina">
    <w:name w:val="footer"/>
    <w:basedOn w:val="Normal"/>
    <w:link w:val="PiedepginaCar"/>
    <w:uiPriority w:val="99"/>
    <w:unhideWhenUsed/>
    <w:rsid w:val="00A456A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456AE"/>
  </w:style>
  <w:style w:type="paragraph" w:styleId="Prrafodelista">
    <w:name w:val="List Paragraph"/>
    <w:basedOn w:val="Normal"/>
    <w:uiPriority w:val="34"/>
    <w:qFormat/>
    <w:rsid w:val="00CC6F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D7981-3156-49A0-8294-C1B819ABB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11437</Words>
  <Characters>65195</Characters>
  <Application>Microsoft Office Word</Application>
  <DocSecurity>0</DocSecurity>
  <Lines>543</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 Medel</dc:creator>
  <cp:keywords/>
  <dc:description/>
  <cp:lastModifiedBy>Carlos A. Medel</cp:lastModifiedBy>
  <cp:revision>5</cp:revision>
  <dcterms:created xsi:type="dcterms:W3CDTF">2020-01-17T04:58:00Z</dcterms:created>
  <dcterms:modified xsi:type="dcterms:W3CDTF">2020-01-17T05:43:00Z</dcterms:modified>
</cp:coreProperties>
</file>